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C376" w14:textId="77777777" w:rsidR="00A85BE8" w:rsidRDefault="00A85BE8" w:rsidP="00A85BE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Advisory Group</w:t>
      </w:r>
    </w:p>
    <w:p w14:paraId="2D5F6A93" w14:textId="77777777" w:rsidR="00A85BE8" w:rsidRPr="00237206" w:rsidRDefault="00A85BE8" w:rsidP="00A85BE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February 17, 2022, 3 – 4:30PM ET</w:t>
      </w:r>
    </w:p>
    <w:p w14:paraId="408841AC" w14:textId="77777777" w:rsidR="00A85BE8" w:rsidRDefault="00A85BE8" w:rsidP="00A85BE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Meeting Summary</w:t>
      </w:r>
    </w:p>
    <w:p w14:paraId="464C4D22" w14:textId="77777777" w:rsidR="00A85BE8" w:rsidRPr="00C1474A" w:rsidRDefault="00A85BE8" w:rsidP="00A85BE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837EF89" w14:textId="77777777" w:rsidR="00A85BE8" w:rsidRPr="00237206" w:rsidRDefault="00A85BE8" w:rsidP="00A85BE8">
      <w:pPr>
        <w:rPr>
          <w:b/>
          <w:bCs/>
        </w:rPr>
      </w:pPr>
      <w:r w:rsidRPr="00237206">
        <w:rPr>
          <w:b/>
          <w:bCs/>
        </w:rPr>
        <w:t>Attendees</w:t>
      </w:r>
      <w:r>
        <w:rPr>
          <w:b/>
          <w:bCs/>
        </w:rPr>
        <w:t xml:space="preserve"> </w:t>
      </w:r>
      <w:r w:rsidRPr="0023551F">
        <w:rPr>
          <w:i/>
          <w:iCs/>
        </w:rPr>
        <w:t xml:space="preserve">Advisory Group </w:t>
      </w:r>
      <w:r>
        <w:rPr>
          <w:i/>
          <w:iCs/>
        </w:rPr>
        <w:t>o</w:t>
      </w:r>
      <w:r w:rsidRPr="0023551F">
        <w:rPr>
          <w:i/>
          <w:iCs/>
        </w:rPr>
        <w:t>nly</w:t>
      </w:r>
      <w:r w:rsidRPr="0023551F">
        <w:t xml:space="preserve"> </w:t>
      </w:r>
    </w:p>
    <w:p w14:paraId="14ED40FA" w14:textId="77777777" w:rsidR="00A85BE8" w:rsidRDefault="00A85BE8" w:rsidP="0386AAC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  <w:sectPr w:rsidR="00A85B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E26101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Akash Chander, Deloitte</w:t>
      </w:r>
    </w:p>
    <w:p w14:paraId="43B04751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Ingrid DiClemente, Deloitte</w:t>
      </w:r>
    </w:p>
    <w:p w14:paraId="5CACD440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Anna Pais, Deloitte</w:t>
      </w:r>
    </w:p>
    <w:p w14:paraId="6D5795AE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William Keating, Deloitte</w:t>
      </w:r>
    </w:p>
    <w:p w14:paraId="54162CC5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Cory Ragsdale, Deloitte</w:t>
      </w:r>
    </w:p>
    <w:p w14:paraId="71C06571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Jordan Woll, Deloitte</w:t>
      </w:r>
    </w:p>
    <w:p w14:paraId="7D00A51F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Albert Chang, Deloitte</w:t>
      </w:r>
    </w:p>
    <w:p w14:paraId="1CCB86E2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Riley Pettit, Deloitte</w:t>
      </w:r>
    </w:p>
    <w:p w14:paraId="47023FE0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Marie Skaf, Deloitte</w:t>
      </w:r>
    </w:p>
    <w:p w14:paraId="3C5961EC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Sharene Williams, Deloitte</w:t>
      </w:r>
    </w:p>
    <w:p w14:paraId="4C0E63A4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Coral Keller, Deloitte</w:t>
      </w:r>
    </w:p>
    <w:p w14:paraId="5F115A4D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Kyle Monsees, NYSERDA</w:t>
      </w:r>
    </w:p>
    <w:p w14:paraId="37C22001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Andrew Owens, NYS Dept. of Public Service</w:t>
      </w:r>
    </w:p>
    <w:p w14:paraId="2D528CA6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Deb Peck Kelleher, ACE NY</w:t>
      </w:r>
    </w:p>
    <w:p w14:paraId="52EA7E51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 xml:space="preserve">Bill </w:t>
      </w:r>
      <w:proofErr w:type="spellStart"/>
      <w:r w:rsidRPr="00F60696">
        <w:rPr>
          <w:rFonts w:ascii="Calibri" w:hAnsi="Calibri" w:cs="Calibri"/>
          <w:sz w:val="22"/>
          <w:szCs w:val="22"/>
        </w:rPr>
        <w:t>Kinneary</w:t>
      </w:r>
      <w:proofErr w:type="spellEnd"/>
      <w:r w:rsidRPr="00F60696">
        <w:rPr>
          <w:rFonts w:ascii="Calibri" w:hAnsi="Calibri" w:cs="Calibri"/>
          <w:sz w:val="22"/>
          <w:szCs w:val="22"/>
        </w:rPr>
        <w:t>, Catalyst Power</w:t>
      </w:r>
    </w:p>
    <w:p w14:paraId="08FCC43E" w14:textId="77777777" w:rsidR="00A85BE8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Chris O'Connor, NY ITS</w:t>
      </w:r>
    </w:p>
    <w:p w14:paraId="640137B1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Glen Kaatz, NY ITS</w:t>
      </w:r>
    </w:p>
    <w:p w14:paraId="1DC271D8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 xml:space="preserve">Damian </w:t>
      </w:r>
      <w:proofErr w:type="spellStart"/>
      <w:r w:rsidRPr="00F60696">
        <w:rPr>
          <w:rFonts w:ascii="Calibri" w:hAnsi="Calibri" w:cs="Calibri"/>
          <w:sz w:val="22"/>
          <w:szCs w:val="22"/>
        </w:rPr>
        <w:t>Sciano</w:t>
      </w:r>
      <w:proofErr w:type="spellEnd"/>
      <w:r w:rsidRPr="00F60696">
        <w:rPr>
          <w:rFonts w:ascii="Calibri" w:hAnsi="Calibri" w:cs="Calibri"/>
          <w:sz w:val="22"/>
          <w:szCs w:val="22"/>
        </w:rPr>
        <w:t>, Con Edison</w:t>
      </w:r>
    </w:p>
    <w:p w14:paraId="47963E90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Danny Waggoner, AEE</w:t>
      </w:r>
    </w:p>
    <w:p w14:paraId="69EB0502" w14:textId="77777777" w:rsidR="00A85BE8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696">
        <w:rPr>
          <w:rFonts w:ascii="Calibri" w:hAnsi="Calibri" w:cs="Calibri"/>
          <w:sz w:val="22"/>
          <w:szCs w:val="22"/>
        </w:rPr>
        <w:t>Danielle Panko, NYS Dept. of State</w:t>
      </w:r>
    </w:p>
    <w:p w14:paraId="782C10BD" w14:textId="77777777" w:rsidR="00A85BE8" w:rsidRPr="00F60696" w:rsidRDefault="00A85BE8" w:rsidP="00A85BE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Katy Hatcher, EPA Energy</w:t>
      </w:r>
    </w:p>
    <w:p w14:paraId="4D8B1BE5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>John Borchert, Central Hudson Gas &amp; Electric</w:t>
      </w:r>
    </w:p>
    <w:p w14:paraId="6CB9F622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Mike </w:t>
      </w:r>
      <w:proofErr w:type="spellStart"/>
      <w:r w:rsidRPr="00F60696">
        <w:rPr>
          <w:sz w:val="22"/>
          <w:szCs w:val="22"/>
        </w:rPr>
        <w:t>Mager</w:t>
      </w:r>
      <w:proofErr w:type="spellEnd"/>
      <w:r w:rsidRPr="00F60696">
        <w:rPr>
          <w:sz w:val="22"/>
          <w:szCs w:val="22"/>
        </w:rPr>
        <w:t xml:space="preserve">, Couch White </w:t>
      </w:r>
    </w:p>
    <w:p w14:paraId="35245D4E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>Pamela MacDougall, Environmental Defense Fund</w:t>
      </w:r>
    </w:p>
    <w:p w14:paraId="4F1C42FD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Marco </w:t>
      </w:r>
      <w:proofErr w:type="spellStart"/>
      <w:r w:rsidRPr="00F60696">
        <w:rPr>
          <w:sz w:val="22"/>
          <w:szCs w:val="22"/>
        </w:rPr>
        <w:t>Padula</w:t>
      </w:r>
      <w:proofErr w:type="spellEnd"/>
      <w:r w:rsidRPr="00F60696">
        <w:rPr>
          <w:sz w:val="22"/>
          <w:szCs w:val="22"/>
        </w:rPr>
        <w:t>, NYS Dept. of Public Service</w:t>
      </w:r>
    </w:p>
    <w:p w14:paraId="0A42D2F5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Michael Murray, </w:t>
      </w:r>
      <w:proofErr w:type="spellStart"/>
      <w:r w:rsidRPr="00F60696">
        <w:rPr>
          <w:sz w:val="22"/>
          <w:szCs w:val="22"/>
        </w:rPr>
        <w:t>Mission:data</w:t>
      </w:r>
      <w:proofErr w:type="spellEnd"/>
    </w:p>
    <w:p w14:paraId="40A3BBD3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Richard </w:t>
      </w:r>
      <w:proofErr w:type="spellStart"/>
      <w:r w:rsidRPr="00F60696">
        <w:rPr>
          <w:sz w:val="22"/>
          <w:szCs w:val="22"/>
        </w:rPr>
        <w:t>Barlette</w:t>
      </w:r>
      <w:proofErr w:type="spellEnd"/>
      <w:r w:rsidRPr="00F60696">
        <w:rPr>
          <w:sz w:val="22"/>
          <w:szCs w:val="22"/>
        </w:rPr>
        <w:t>, Constellation Energy</w:t>
      </w:r>
    </w:p>
    <w:p w14:paraId="646957AE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Richard </w:t>
      </w:r>
      <w:proofErr w:type="spellStart"/>
      <w:r w:rsidRPr="00F60696">
        <w:rPr>
          <w:sz w:val="22"/>
          <w:szCs w:val="22"/>
        </w:rPr>
        <w:t>Spilky</w:t>
      </w:r>
      <w:proofErr w:type="spellEnd"/>
      <w:r w:rsidRPr="00F60696">
        <w:rPr>
          <w:sz w:val="22"/>
          <w:szCs w:val="22"/>
        </w:rPr>
        <w:t>, Constellation Energy</w:t>
      </w:r>
    </w:p>
    <w:p w14:paraId="385599BC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Ross </w:t>
      </w:r>
      <w:proofErr w:type="spellStart"/>
      <w:r w:rsidRPr="00F60696">
        <w:rPr>
          <w:sz w:val="22"/>
          <w:szCs w:val="22"/>
        </w:rPr>
        <w:t>MacWhinney</w:t>
      </w:r>
      <w:proofErr w:type="spellEnd"/>
      <w:r w:rsidRPr="00F60696">
        <w:rPr>
          <w:sz w:val="22"/>
          <w:szCs w:val="22"/>
        </w:rPr>
        <w:t>, City of New York</w:t>
      </w:r>
    </w:p>
    <w:p w14:paraId="46F78DE0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Sean </w:t>
      </w:r>
      <w:proofErr w:type="spellStart"/>
      <w:r w:rsidRPr="00F60696">
        <w:rPr>
          <w:sz w:val="22"/>
          <w:szCs w:val="22"/>
        </w:rPr>
        <w:t>Isakower</w:t>
      </w:r>
      <w:proofErr w:type="spellEnd"/>
      <w:r w:rsidRPr="00F60696">
        <w:rPr>
          <w:sz w:val="22"/>
          <w:szCs w:val="22"/>
        </w:rPr>
        <w:t>, NYS Dept. of Public Service</w:t>
      </w:r>
    </w:p>
    <w:p w14:paraId="220A9648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>Bill Acker, NY-Best</w:t>
      </w:r>
    </w:p>
    <w:p w14:paraId="0B33FBB6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 xml:space="preserve">Gaurav </w:t>
      </w:r>
      <w:proofErr w:type="spellStart"/>
      <w:r w:rsidRPr="00F60696">
        <w:rPr>
          <w:sz w:val="22"/>
          <w:szCs w:val="22"/>
        </w:rPr>
        <w:t>Behal</w:t>
      </w:r>
      <w:proofErr w:type="spellEnd"/>
      <w:r w:rsidRPr="00F60696">
        <w:rPr>
          <w:sz w:val="22"/>
          <w:szCs w:val="22"/>
        </w:rPr>
        <w:t>, ChargePoint</w:t>
      </w:r>
    </w:p>
    <w:p w14:paraId="644C2764" w14:textId="77777777" w:rsidR="00A85BE8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60696">
        <w:rPr>
          <w:sz w:val="22"/>
          <w:szCs w:val="22"/>
        </w:rPr>
        <w:t>Kathryn Cox-Arslan, Borrego Solar</w:t>
      </w:r>
    </w:p>
    <w:p w14:paraId="589022F5" w14:textId="77777777" w:rsidR="00A85BE8" w:rsidRPr="00F60696" w:rsidRDefault="00A85BE8" w:rsidP="00A85BE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Sunny Joshi, NYSERDA</w:t>
      </w:r>
    </w:p>
    <w:p w14:paraId="2C9A05F8" w14:textId="77777777" w:rsidR="00A85BE8" w:rsidRDefault="00A85BE8" w:rsidP="00A85BE8">
      <w:pPr>
        <w:sectPr w:rsidR="00A85BE8" w:rsidSect="005D13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CD643E" w14:textId="77777777" w:rsidR="00A85BE8" w:rsidRDefault="00A85BE8" w:rsidP="00A85BE8">
      <w:pPr>
        <w:rPr>
          <w:b/>
          <w:bCs/>
        </w:rPr>
      </w:pPr>
    </w:p>
    <w:p w14:paraId="6AF9C96B" w14:textId="7D05B905" w:rsidR="00A85BE8" w:rsidRPr="00E370D5" w:rsidRDefault="00A85BE8" w:rsidP="00A85BE8">
      <w:pPr>
        <w:rPr>
          <w:b/>
          <w:bCs/>
          <w:i/>
          <w:iCs/>
        </w:rPr>
      </w:pPr>
      <w:r w:rsidRPr="00237206">
        <w:rPr>
          <w:b/>
          <w:bCs/>
        </w:rPr>
        <w:t xml:space="preserve">Discussion </w:t>
      </w:r>
      <w:r>
        <w:rPr>
          <w:b/>
          <w:bCs/>
        </w:rPr>
        <w:t>Topics</w:t>
      </w:r>
      <w:r w:rsidR="00D17BA5">
        <w:rPr>
          <w:b/>
          <w:bCs/>
        </w:rPr>
        <w:t xml:space="preserve"> | </w:t>
      </w:r>
      <w:r>
        <w:rPr>
          <w:b/>
          <w:bCs/>
          <w:i/>
          <w:iCs/>
        </w:rPr>
        <w:t>Advisory Group</w:t>
      </w:r>
    </w:p>
    <w:p w14:paraId="7BC16E49" w14:textId="77777777" w:rsidR="003B50F4" w:rsidRDefault="003B50F4" w:rsidP="00A85BE8">
      <w:pPr>
        <w:pStyle w:val="ListParagraph"/>
        <w:numPr>
          <w:ilvl w:val="0"/>
          <w:numId w:val="1"/>
        </w:numPr>
      </w:pPr>
      <w:r>
        <w:t>Introduction</w:t>
      </w:r>
    </w:p>
    <w:p w14:paraId="3A0761E8" w14:textId="77777777" w:rsidR="003B50F4" w:rsidRDefault="003B50F4" w:rsidP="003B50F4">
      <w:pPr>
        <w:pStyle w:val="ListParagraph"/>
        <w:numPr>
          <w:ilvl w:val="1"/>
          <w:numId w:val="1"/>
        </w:numPr>
      </w:pPr>
      <w:r>
        <w:t>Session to e</w:t>
      </w:r>
      <w:r w:rsidRPr="003B50F4">
        <w:t xml:space="preserve">nable appointed members of diverse stakeholder groups in NY State’s energy sector to meet, discuss and collaborate to provide informed commentary and guidance to the Program Sponsor and Steering Committee. </w:t>
      </w:r>
    </w:p>
    <w:p w14:paraId="0634BC25" w14:textId="2C0EDA01" w:rsidR="003B50F4" w:rsidRDefault="003B50F4" w:rsidP="003B50F4">
      <w:pPr>
        <w:pStyle w:val="ListParagraph"/>
        <w:numPr>
          <w:ilvl w:val="1"/>
          <w:numId w:val="1"/>
        </w:numPr>
      </w:pPr>
      <w:r>
        <w:t>Our Hybrid Agile approach</w:t>
      </w:r>
    </w:p>
    <w:p w14:paraId="50CE2F34" w14:textId="71422216" w:rsidR="003B50F4" w:rsidRDefault="003B50F4" w:rsidP="003B50F4">
      <w:pPr>
        <w:pStyle w:val="ListParagraph"/>
        <w:numPr>
          <w:ilvl w:val="2"/>
          <w:numId w:val="1"/>
        </w:numPr>
      </w:pPr>
      <w:r w:rsidRPr="003B50F4">
        <w:t>Hybrid Agile is the application of adaptive, agile concepts and techniques in a traditional, predictive project.</w:t>
      </w:r>
    </w:p>
    <w:p w14:paraId="6279AF94" w14:textId="77C7B13E" w:rsidR="00237206" w:rsidRDefault="003B50F4" w:rsidP="003B50F4">
      <w:pPr>
        <w:pStyle w:val="ListParagraph"/>
        <w:numPr>
          <w:ilvl w:val="0"/>
          <w:numId w:val="1"/>
        </w:numPr>
      </w:pPr>
      <w:r w:rsidRPr="003B50F4">
        <w:t>Discussion: Customer lifecycle and consent touchpoints</w:t>
      </w:r>
    </w:p>
    <w:p w14:paraId="42E79CBF" w14:textId="29D9FD17" w:rsidR="003B50F4" w:rsidRDefault="003B50F4" w:rsidP="003B50F4">
      <w:pPr>
        <w:pStyle w:val="ListParagraph"/>
        <w:numPr>
          <w:ilvl w:val="1"/>
          <w:numId w:val="1"/>
        </w:numPr>
      </w:pPr>
      <w:r w:rsidRPr="003B50F4">
        <w:t>Tenants of IEDR’s Customer Consent Strategy</w:t>
      </w:r>
    </w:p>
    <w:p w14:paraId="2ACF3665" w14:textId="0DDC4F1F" w:rsidR="003B50F4" w:rsidRDefault="003B50F4" w:rsidP="003B50F4">
      <w:pPr>
        <w:pStyle w:val="ListParagraph"/>
        <w:numPr>
          <w:ilvl w:val="2"/>
          <w:numId w:val="1"/>
        </w:numPr>
      </w:pPr>
      <w:r w:rsidRPr="003B50F4">
        <w:t>Customers are the owners of their energy data, and no specific data will be shared without customer consent</w:t>
      </w:r>
    </w:p>
    <w:p w14:paraId="57D41C85" w14:textId="6939BA0B" w:rsidR="003B50F4" w:rsidRDefault="003B50F4" w:rsidP="003B50F4">
      <w:pPr>
        <w:pStyle w:val="ListParagraph"/>
        <w:numPr>
          <w:ilvl w:val="2"/>
          <w:numId w:val="1"/>
        </w:numPr>
      </w:pPr>
      <w:r w:rsidRPr="003B50F4">
        <w:t>Customer data is some of the most sensitive data that the platform will deal with</w:t>
      </w:r>
    </w:p>
    <w:p w14:paraId="21E81F5A" w14:textId="77777777" w:rsidR="003B50F4" w:rsidRPr="003B50F4" w:rsidRDefault="003B50F4" w:rsidP="003B50F4">
      <w:pPr>
        <w:pStyle w:val="ListParagraph"/>
        <w:numPr>
          <w:ilvl w:val="2"/>
          <w:numId w:val="1"/>
        </w:numPr>
      </w:pPr>
      <w:r w:rsidRPr="003B50F4">
        <w:t>Customer data is valuable</w:t>
      </w:r>
    </w:p>
    <w:p w14:paraId="61078B4C" w14:textId="7293D3AF" w:rsidR="003B50F4" w:rsidRPr="003B50F4" w:rsidRDefault="003B50F4" w:rsidP="003B50F4">
      <w:pPr>
        <w:pStyle w:val="ListParagraph"/>
        <w:numPr>
          <w:ilvl w:val="3"/>
          <w:numId w:val="1"/>
        </w:numPr>
      </w:pPr>
      <w:r w:rsidRPr="003B50F4">
        <w:t>Reducing the barriers to identifying and engaging with consumers has come up as valuable across different stakeholders /conversations</w:t>
      </w:r>
    </w:p>
    <w:p w14:paraId="444622E5" w14:textId="084E64C5" w:rsidR="003B50F4" w:rsidRDefault="003B50F4" w:rsidP="003B50F4">
      <w:pPr>
        <w:pStyle w:val="ListParagraph"/>
        <w:numPr>
          <w:ilvl w:val="0"/>
          <w:numId w:val="1"/>
        </w:numPr>
      </w:pPr>
      <w:r w:rsidRPr="003B50F4">
        <w:lastRenderedPageBreak/>
        <w:t>Customer lifecycle and consent touchpoints</w:t>
      </w:r>
    </w:p>
    <w:p w14:paraId="285E49E8" w14:textId="1AECC8B7" w:rsidR="003B50F4" w:rsidRDefault="003B50F4" w:rsidP="003B50F4">
      <w:pPr>
        <w:pStyle w:val="ListParagraph"/>
        <w:numPr>
          <w:ilvl w:val="1"/>
          <w:numId w:val="1"/>
        </w:numPr>
      </w:pPr>
      <w:r w:rsidRPr="003B50F4">
        <w:t>For many DER / DR providers, accessing customer-specific data is beneficial or required at multiple stages of the customer lifecycle</w:t>
      </w:r>
    </w:p>
    <w:p w14:paraId="01499B36" w14:textId="77777777" w:rsidR="009A53BE" w:rsidRDefault="009A53BE" w:rsidP="009A53BE">
      <w:pPr>
        <w:pStyle w:val="ListParagraph"/>
        <w:numPr>
          <w:ilvl w:val="0"/>
          <w:numId w:val="1"/>
        </w:numPr>
      </w:pPr>
      <w:r w:rsidRPr="009A53BE">
        <w:t xml:space="preserve">Identification of new customers </w:t>
      </w:r>
    </w:p>
    <w:p w14:paraId="24880B69" w14:textId="022BBD37" w:rsidR="009A53BE" w:rsidRPr="009A53BE" w:rsidRDefault="009A53BE" w:rsidP="00446B04">
      <w:pPr>
        <w:pStyle w:val="ListParagraph"/>
        <w:numPr>
          <w:ilvl w:val="1"/>
          <w:numId w:val="1"/>
        </w:numPr>
      </w:pPr>
      <w:r w:rsidRPr="009A53BE">
        <w:t xml:space="preserve">It is challenging to acquire new customers and customer acquisition costs are high since DER providers rely on: </w:t>
      </w:r>
    </w:p>
    <w:p w14:paraId="5EBDB693" w14:textId="77777777" w:rsidR="009A53BE" w:rsidRPr="009A53BE" w:rsidRDefault="009A53BE" w:rsidP="00446B04">
      <w:pPr>
        <w:pStyle w:val="ListParagraph"/>
        <w:numPr>
          <w:ilvl w:val="1"/>
          <w:numId w:val="1"/>
        </w:numPr>
      </w:pPr>
      <w:r w:rsidRPr="009A53BE">
        <w:t>The IEDR can help consolidate and standardize both utility and non-utility data across the state that is beneficial for customer identification</w:t>
      </w:r>
    </w:p>
    <w:p w14:paraId="7A5E30A5" w14:textId="53653684" w:rsidR="009A53BE" w:rsidRDefault="009A53BE" w:rsidP="009A53BE">
      <w:pPr>
        <w:pStyle w:val="ListParagraph"/>
        <w:numPr>
          <w:ilvl w:val="0"/>
          <w:numId w:val="1"/>
        </w:numPr>
      </w:pPr>
      <w:r w:rsidRPr="009A53BE">
        <w:t>Engagement with Interested Customers</w:t>
      </w:r>
    </w:p>
    <w:p w14:paraId="00CDB727" w14:textId="1A1D4EB3" w:rsidR="009A53BE" w:rsidRPr="009A53BE" w:rsidRDefault="009A53BE" w:rsidP="000A70C1">
      <w:pPr>
        <w:pStyle w:val="ListParagraph"/>
        <w:numPr>
          <w:ilvl w:val="1"/>
          <w:numId w:val="1"/>
        </w:numPr>
      </w:pPr>
      <w:r w:rsidRPr="009A53BE">
        <w:t xml:space="preserve">Customers can share their data with DER providers through Green Button Connect, but limited providers participate in NY state due to integration costs and other limitations </w:t>
      </w:r>
    </w:p>
    <w:p w14:paraId="7CB02BCA" w14:textId="0A16ED64" w:rsidR="009A53BE" w:rsidRPr="009A53BE" w:rsidRDefault="009A53BE" w:rsidP="000A70C1">
      <w:pPr>
        <w:pStyle w:val="ListParagraph"/>
        <w:numPr>
          <w:ilvl w:val="1"/>
          <w:numId w:val="1"/>
        </w:numPr>
      </w:pPr>
      <w:r w:rsidRPr="009A53BE">
        <w:t>DER Providers can use the IEDR to reach out to customers for consent to share data</w:t>
      </w:r>
      <w:r w:rsidR="000A70C1">
        <w:t xml:space="preserve"> and can </w:t>
      </w:r>
      <w:r w:rsidRPr="009A53BE">
        <w:t>accelerate provider’s ability to get customer data</w:t>
      </w:r>
      <w:r w:rsidR="000A70C1">
        <w:t xml:space="preserve">; improve </w:t>
      </w:r>
      <w:r w:rsidRPr="009A53BE">
        <w:t xml:space="preserve">customer’s ability to share by data by standardizing the process across utilities </w:t>
      </w:r>
    </w:p>
    <w:p w14:paraId="2A5F342E" w14:textId="38C33D4E" w:rsidR="009A53BE" w:rsidRDefault="009A53BE" w:rsidP="009A53BE">
      <w:pPr>
        <w:pStyle w:val="ListParagraph"/>
        <w:numPr>
          <w:ilvl w:val="0"/>
          <w:numId w:val="1"/>
        </w:numPr>
      </w:pPr>
      <w:r w:rsidRPr="009A53BE">
        <w:t>Management of Subscribed Customers</w:t>
      </w:r>
    </w:p>
    <w:p w14:paraId="165FF59C" w14:textId="3217E509" w:rsidR="009A53BE" w:rsidRDefault="009A53BE" w:rsidP="000A70C1">
      <w:pPr>
        <w:pStyle w:val="ListParagraph"/>
        <w:numPr>
          <w:ilvl w:val="1"/>
          <w:numId w:val="1"/>
        </w:numPr>
      </w:pPr>
      <w:r w:rsidRPr="009A53BE">
        <w:t>The IEDR could serve as the method of sharing subscribed customer data between utilities and community solar providers on an ongoing basis</w:t>
      </w:r>
    </w:p>
    <w:p w14:paraId="59BA5FC3" w14:textId="4739B1C8" w:rsidR="009A53BE" w:rsidRDefault="009A53BE" w:rsidP="009A53BE">
      <w:pPr>
        <w:pStyle w:val="ListParagraph"/>
        <w:numPr>
          <w:ilvl w:val="0"/>
          <w:numId w:val="1"/>
        </w:numPr>
      </w:pPr>
      <w:r w:rsidRPr="009A53BE">
        <w:t>Discussion: Emissions factors</w:t>
      </w:r>
    </w:p>
    <w:p w14:paraId="70495EE8" w14:textId="77777777" w:rsidR="009A53BE" w:rsidRPr="009A53BE" w:rsidRDefault="009A53BE" w:rsidP="000A70C1">
      <w:pPr>
        <w:pStyle w:val="ListParagraph"/>
        <w:numPr>
          <w:ilvl w:val="1"/>
          <w:numId w:val="1"/>
        </w:numPr>
      </w:pPr>
      <w:r w:rsidRPr="009A53BE">
        <w:t xml:space="preserve">The City of New York measures direct and indirect GHG emissions from stationary energy, transportation, and waste. To do so, they calculate city-specific electricity emission factors. </w:t>
      </w:r>
    </w:p>
    <w:p w14:paraId="49CACE89" w14:textId="77777777" w:rsidR="009A53BE" w:rsidRPr="009A53BE" w:rsidRDefault="009A53BE" w:rsidP="009A53BE">
      <w:pPr>
        <w:pStyle w:val="ListParagraph"/>
        <w:numPr>
          <w:ilvl w:val="2"/>
          <w:numId w:val="1"/>
        </w:numPr>
      </w:pPr>
      <w:r w:rsidRPr="009A53BE">
        <w:t>The EPA publishes total GHG emissions for each participating building using emissions factors for the entire U.S.</w:t>
      </w:r>
    </w:p>
    <w:p w14:paraId="33CB654F" w14:textId="09BF73B9" w:rsidR="009A53BE" w:rsidRDefault="009A53BE" w:rsidP="009A53BE">
      <w:pPr>
        <w:pStyle w:val="ListParagraph"/>
        <w:numPr>
          <w:ilvl w:val="2"/>
          <w:numId w:val="1"/>
        </w:numPr>
      </w:pPr>
      <w:r w:rsidRPr="009A53BE">
        <w:t>DEC published its first annual Greenhouse Gas Emissions Report in 2021 and emission factors were from NYSERDA’s report</w:t>
      </w:r>
    </w:p>
    <w:p w14:paraId="3693C429" w14:textId="77777777" w:rsidR="009A53BE" w:rsidRPr="009A53BE" w:rsidRDefault="009A53BE" w:rsidP="000A70C1">
      <w:pPr>
        <w:pStyle w:val="ListParagraph"/>
        <w:numPr>
          <w:ilvl w:val="1"/>
          <w:numId w:val="1"/>
        </w:numPr>
      </w:pPr>
      <w:r w:rsidRPr="009A53BE">
        <w:t>Available emissions factors are too geographically broad and not updated frequently enough (real-time will be needed for compliance with LL97)</w:t>
      </w:r>
    </w:p>
    <w:p w14:paraId="10C744FF" w14:textId="7A0548B9" w:rsidR="009A53BE" w:rsidRDefault="009A53BE" w:rsidP="009A53BE">
      <w:pPr>
        <w:pStyle w:val="ListParagraph"/>
        <w:numPr>
          <w:ilvl w:val="2"/>
          <w:numId w:val="1"/>
        </w:numPr>
      </w:pPr>
      <w:r w:rsidRPr="009A53BE">
        <w:t>It is difficult to measure the impact of DERs without knowing the emissions factors / being able to demonstrate a decrease in GHG from DER projects</w:t>
      </w:r>
    </w:p>
    <w:p w14:paraId="37C3D6D8" w14:textId="54D43B27" w:rsidR="009A53BE" w:rsidRDefault="009A53BE" w:rsidP="000A70C1">
      <w:pPr>
        <w:pStyle w:val="ListParagraph"/>
        <w:numPr>
          <w:ilvl w:val="1"/>
          <w:numId w:val="1"/>
        </w:numPr>
      </w:pPr>
      <w:r w:rsidRPr="009A53BE">
        <w:t>Either the IEDR, NYISO or a different organization could be responsible for collecting the required data (e.g., power plant emissions and generation data) and calculating emission factors for each NYISO zone</w:t>
      </w:r>
    </w:p>
    <w:p w14:paraId="088EA338" w14:textId="0BADE939" w:rsidR="009A53BE" w:rsidRDefault="009A53BE" w:rsidP="009A53BE">
      <w:pPr>
        <w:pStyle w:val="ListParagraph"/>
        <w:numPr>
          <w:ilvl w:val="0"/>
          <w:numId w:val="1"/>
        </w:numPr>
      </w:pPr>
      <w:r w:rsidRPr="009A53BE">
        <w:t xml:space="preserve">Discussion: </w:t>
      </w:r>
      <w:r>
        <w:t>Interconnection process</w:t>
      </w:r>
    </w:p>
    <w:p w14:paraId="53F6CE66" w14:textId="2252E558" w:rsidR="009A53BE" w:rsidRDefault="009A53BE" w:rsidP="000A70C1">
      <w:pPr>
        <w:pStyle w:val="ListParagraph"/>
        <w:numPr>
          <w:ilvl w:val="1"/>
          <w:numId w:val="1"/>
        </w:numPr>
      </w:pPr>
      <w:r w:rsidRPr="009A53BE">
        <w:t>Providers lack visibility into 1) probable interconnection costs, 2) threshold values for upgrade requirements, 3) which DER developers they could partner with to achieve similar interconnection goals, 4) planned circuit / substation / transformer upgrades, 5) timeline for interconnection approval</w:t>
      </w:r>
    </w:p>
    <w:p w14:paraId="7A83406F" w14:textId="77777777" w:rsidR="009A53BE" w:rsidRPr="009A53BE" w:rsidRDefault="009A53BE" w:rsidP="000A70C1">
      <w:pPr>
        <w:pStyle w:val="ListParagraph"/>
        <w:numPr>
          <w:ilvl w:val="1"/>
          <w:numId w:val="1"/>
        </w:numPr>
      </w:pPr>
      <w:r w:rsidRPr="009A53BE">
        <w:t>The IEDR could enhance the interconnections process by:</w:t>
      </w:r>
    </w:p>
    <w:p w14:paraId="184BD81D" w14:textId="77777777" w:rsidR="009A53BE" w:rsidRPr="009A53BE" w:rsidRDefault="009A53BE" w:rsidP="009A53BE">
      <w:pPr>
        <w:pStyle w:val="ListParagraph"/>
        <w:numPr>
          <w:ilvl w:val="3"/>
          <w:numId w:val="1"/>
        </w:numPr>
      </w:pPr>
      <w:r w:rsidRPr="009A53BE">
        <w:t>Standardizing and improving the frequency and reliability of hosting capacity maps</w:t>
      </w:r>
    </w:p>
    <w:p w14:paraId="30AE98B1" w14:textId="77777777" w:rsidR="009A53BE" w:rsidRPr="009A53BE" w:rsidRDefault="009A53BE" w:rsidP="009A53BE">
      <w:pPr>
        <w:pStyle w:val="ListParagraph"/>
        <w:numPr>
          <w:ilvl w:val="3"/>
          <w:numId w:val="1"/>
        </w:numPr>
      </w:pPr>
      <w:r w:rsidRPr="009A53BE">
        <w:t>Publishing interconnection approval time statistics for each utility</w:t>
      </w:r>
    </w:p>
    <w:p w14:paraId="35249512" w14:textId="77777777" w:rsidR="009A53BE" w:rsidRPr="009A53BE" w:rsidRDefault="009A53BE" w:rsidP="009A53BE">
      <w:pPr>
        <w:pStyle w:val="ListParagraph"/>
        <w:numPr>
          <w:ilvl w:val="3"/>
          <w:numId w:val="1"/>
        </w:numPr>
      </w:pPr>
      <w:r w:rsidRPr="009A53BE">
        <w:lastRenderedPageBreak/>
        <w:t>Enabling better visibility to projected interconnection costs</w:t>
      </w:r>
    </w:p>
    <w:p w14:paraId="61351F75" w14:textId="2F369C5A" w:rsidR="009A53BE" w:rsidRDefault="009A53BE" w:rsidP="009A53BE">
      <w:pPr>
        <w:pStyle w:val="ListParagraph"/>
        <w:numPr>
          <w:ilvl w:val="3"/>
          <w:numId w:val="1"/>
        </w:numPr>
      </w:pPr>
      <w:r w:rsidRPr="009A53BE">
        <w:t>Harmonizing interconnection queues and making data available by geography and other filters</w:t>
      </w:r>
    </w:p>
    <w:p w14:paraId="21B72823" w14:textId="0A2749D5" w:rsidR="009A53BE" w:rsidRDefault="009A53BE" w:rsidP="009A53BE">
      <w:pPr>
        <w:pStyle w:val="ListParagraph"/>
        <w:numPr>
          <w:ilvl w:val="0"/>
          <w:numId w:val="1"/>
        </w:numPr>
      </w:pPr>
      <w:r>
        <w:t>Next Steps and Path Forward</w:t>
      </w:r>
    </w:p>
    <w:p w14:paraId="0BED3FE5" w14:textId="77777777" w:rsidR="009A53BE" w:rsidRPr="009A53BE" w:rsidRDefault="009A53BE" w:rsidP="009A53BE">
      <w:pPr>
        <w:pStyle w:val="ListParagraph"/>
        <w:numPr>
          <w:ilvl w:val="1"/>
          <w:numId w:val="1"/>
        </w:numPr>
      </w:pPr>
      <w:r w:rsidRPr="009A53BE">
        <w:t xml:space="preserve">Refine the use case repository and prioritization based on input from this AG session and ongoing stakeholder interviews/focus groups </w:t>
      </w:r>
    </w:p>
    <w:p w14:paraId="27B8E39F" w14:textId="77777777" w:rsidR="009A53BE" w:rsidRPr="009A53BE" w:rsidRDefault="009A53BE" w:rsidP="009A53BE">
      <w:pPr>
        <w:pStyle w:val="ListParagraph"/>
        <w:numPr>
          <w:ilvl w:val="1"/>
          <w:numId w:val="1"/>
        </w:numPr>
      </w:pPr>
      <w:r w:rsidRPr="009A53BE">
        <w:t xml:space="preserve">Identify the top use cases that have a high likelihood of being part of Phase 1 of the IEDR; these will be discussed further for insights on feasibility with the developer once they are onboarded </w:t>
      </w:r>
    </w:p>
    <w:p w14:paraId="7B0123C6" w14:textId="77777777" w:rsidR="009A53BE" w:rsidRPr="009A53BE" w:rsidRDefault="009A53BE" w:rsidP="009A53BE">
      <w:pPr>
        <w:pStyle w:val="ListParagraph"/>
        <w:numPr>
          <w:ilvl w:val="1"/>
          <w:numId w:val="1"/>
        </w:numPr>
      </w:pPr>
      <w:r w:rsidRPr="009A53BE">
        <w:t>Release the Developer Request for Proposal (RFP) and manage the procurement and teaming process to ensure a highly capable and inclusive team is onboarded to implement the IEDR platform</w:t>
      </w:r>
    </w:p>
    <w:p w14:paraId="5D18F68B" w14:textId="75C65B09" w:rsidR="009A53BE" w:rsidRPr="00A85BE8" w:rsidRDefault="009A53BE" w:rsidP="009A53BE">
      <w:pPr>
        <w:pStyle w:val="ListParagraph"/>
        <w:numPr>
          <w:ilvl w:val="1"/>
          <w:numId w:val="1"/>
        </w:numPr>
      </w:pPr>
      <w:r w:rsidRPr="009A53BE">
        <w:t>Develop initial designs for the high likelihood use cases that will be selected for the first public iteration and handed over to the development team</w:t>
      </w:r>
    </w:p>
    <w:sectPr w:rsidR="009A53BE" w:rsidRPr="00A85BE8" w:rsidSect="005D13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F685" w14:textId="77777777" w:rsidR="005A272B" w:rsidRDefault="005A272B" w:rsidP="00237206">
      <w:r>
        <w:separator/>
      </w:r>
    </w:p>
  </w:endnote>
  <w:endnote w:type="continuationSeparator" w:id="0">
    <w:p w14:paraId="321003B5" w14:textId="77777777" w:rsidR="005A272B" w:rsidRDefault="005A272B" w:rsidP="0023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37AB" w14:textId="77777777" w:rsidR="00A1639B" w:rsidRDefault="00A16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9099" w14:textId="77777777" w:rsidR="00A1639B" w:rsidRDefault="00A16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7D48" w14:textId="77777777" w:rsidR="00A1639B" w:rsidRDefault="00A163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C1B5" w14:textId="77777777" w:rsidR="003D7323" w:rsidRDefault="003D732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0C2" w14:textId="77777777" w:rsidR="003D7323" w:rsidRDefault="003D73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5170" w14:textId="77777777" w:rsidR="003D7323" w:rsidRDefault="003D7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D595" w14:textId="77777777" w:rsidR="005A272B" w:rsidRDefault="005A272B" w:rsidP="00237206">
      <w:r>
        <w:separator/>
      </w:r>
    </w:p>
  </w:footnote>
  <w:footnote w:type="continuationSeparator" w:id="0">
    <w:p w14:paraId="573B71A3" w14:textId="77777777" w:rsidR="005A272B" w:rsidRDefault="005A272B" w:rsidP="0023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ACD2" w14:textId="77777777" w:rsidR="00A1639B" w:rsidRDefault="00A16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7CB1" w14:textId="77777777" w:rsidR="00A1639B" w:rsidRDefault="00A16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3E3" w14:textId="77777777" w:rsidR="00A1639B" w:rsidRDefault="00A163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8AD8" w14:textId="77777777" w:rsidR="003D7323" w:rsidRDefault="003D73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96D" w14:textId="77777777" w:rsidR="003D7323" w:rsidRDefault="003D73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404" w14:textId="77777777" w:rsidR="003D7323" w:rsidRDefault="003D7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938"/>
    <w:multiLevelType w:val="multilevel"/>
    <w:tmpl w:val="512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E212D"/>
    <w:multiLevelType w:val="multilevel"/>
    <w:tmpl w:val="EA9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8464E"/>
    <w:multiLevelType w:val="multilevel"/>
    <w:tmpl w:val="A5A8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912C8"/>
    <w:multiLevelType w:val="hybridMultilevel"/>
    <w:tmpl w:val="7332E9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ED6324"/>
    <w:multiLevelType w:val="hybridMultilevel"/>
    <w:tmpl w:val="E2A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23E"/>
    <w:multiLevelType w:val="hybridMultilevel"/>
    <w:tmpl w:val="FFC0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42968"/>
    <w:multiLevelType w:val="hybridMultilevel"/>
    <w:tmpl w:val="063C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B1A36"/>
    <w:multiLevelType w:val="hybridMultilevel"/>
    <w:tmpl w:val="7D5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45E3"/>
    <w:multiLevelType w:val="multilevel"/>
    <w:tmpl w:val="B444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E33553"/>
    <w:multiLevelType w:val="multilevel"/>
    <w:tmpl w:val="DEA8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C4B1E"/>
    <w:multiLevelType w:val="hybridMultilevel"/>
    <w:tmpl w:val="9C0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7A83"/>
    <w:multiLevelType w:val="hybridMultilevel"/>
    <w:tmpl w:val="73B2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71BB8"/>
    <w:multiLevelType w:val="multilevel"/>
    <w:tmpl w:val="0A72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B53F9"/>
    <w:multiLevelType w:val="multilevel"/>
    <w:tmpl w:val="9444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E049A8"/>
    <w:multiLevelType w:val="multilevel"/>
    <w:tmpl w:val="FA1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034CC1"/>
    <w:multiLevelType w:val="multilevel"/>
    <w:tmpl w:val="88D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062AC0"/>
    <w:multiLevelType w:val="hybridMultilevel"/>
    <w:tmpl w:val="734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06"/>
    <w:rsid w:val="00021B5B"/>
    <w:rsid w:val="00021EC9"/>
    <w:rsid w:val="00030DC4"/>
    <w:rsid w:val="00041919"/>
    <w:rsid w:val="00065E04"/>
    <w:rsid w:val="00072D7F"/>
    <w:rsid w:val="0007441E"/>
    <w:rsid w:val="00076076"/>
    <w:rsid w:val="00091443"/>
    <w:rsid w:val="000969F7"/>
    <w:rsid w:val="000A14D4"/>
    <w:rsid w:val="000A70C1"/>
    <w:rsid w:val="000D544C"/>
    <w:rsid w:val="000D5E8D"/>
    <w:rsid w:val="000E20B9"/>
    <w:rsid w:val="00102E34"/>
    <w:rsid w:val="00116EA9"/>
    <w:rsid w:val="001222C9"/>
    <w:rsid w:val="001232AA"/>
    <w:rsid w:val="00130FA0"/>
    <w:rsid w:val="00145D94"/>
    <w:rsid w:val="00155260"/>
    <w:rsid w:val="00187C08"/>
    <w:rsid w:val="001E3F8C"/>
    <w:rsid w:val="001E5B6E"/>
    <w:rsid w:val="001F03A3"/>
    <w:rsid w:val="0021711D"/>
    <w:rsid w:val="002230AC"/>
    <w:rsid w:val="00223DC1"/>
    <w:rsid w:val="00224E0A"/>
    <w:rsid w:val="00237206"/>
    <w:rsid w:val="00247C08"/>
    <w:rsid w:val="00253058"/>
    <w:rsid w:val="00257579"/>
    <w:rsid w:val="00261FD6"/>
    <w:rsid w:val="00284566"/>
    <w:rsid w:val="00294470"/>
    <w:rsid w:val="002A06C7"/>
    <w:rsid w:val="002B16D3"/>
    <w:rsid w:val="002B7BEF"/>
    <w:rsid w:val="002B7C62"/>
    <w:rsid w:val="002C5606"/>
    <w:rsid w:val="002C76E7"/>
    <w:rsid w:val="002C7A72"/>
    <w:rsid w:val="002D01BE"/>
    <w:rsid w:val="002D0D6B"/>
    <w:rsid w:val="002F18AB"/>
    <w:rsid w:val="00301F58"/>
    <w:rsid w:val="00314F31"/>
    <w:rsid w:val="00316337"/>
    <w:rsid w:val="0032180E"/>
    <w:rsid w:val="00340163"/>
    <w:rsid w:val="0036430A"/>
    <w:rsid w:val="0036597D"/>
    <w:rsid w:val="00374BB3"/>
    <w:rsid w:val="00381669"/>
    <w:rsid w:val="00386A95"/>
    <w:rsid w:val="00392B00"/>
    <w:rsid w:val="00393464"/>
    <w:rsid w:val="003B50F4"/>
    <w:rsid w:val="003C0B32"/>
    <w:rsid w:val="003D7323"/>
    <w:rsid w:val="00402DEE"/>
    <w:rsid w:val="00405701"/>
    <w:rsid w:val="00407821"/>
    <w:rsid w:val="004240BB"/>
    <w:rsid w:val="00424A8E"/>
    <w:rsid w:val="00446B04"/>
    <w:rsid w:val="00461F32"/>
    <w:rsid w:val="00462C44"/>
    <w:rsid w:val="00462E3E"/>
    <w:rsid w:val="00463576"/>
    <w:rsid w:val="004B3F82"/>
    <w:rsid w:val="004D3118"/>
    <w:rsid w:val="004D6CB9"/>
    <w:rsid w:val="004E371A"/>
    <w:rsid w:val="004E6547"/>
    <w:rsid w:val="00513AB3"/>
    <w:rsid w:val="005218ED"/>
    <w:rsid w:val="005271F1"/>
    <w:rsid w:val="005412A0"/>
    <w:rsid w:val="0054288D"/>
    <w:rsid w:val="00543F76"/>
    <w:rsid w:val="00555BD1"/>
    <w:rsid w:val="005644F1"/>
    <w:rsid w:val="00571356"/>
    <w:rsid w:val="00572F06"/>
    <w:rsid w:val="00573AF0"/>
    <w:rsid w:val="00582176"/>
    <w:rsid w:val="00583A4A"/>
    <w:rsid w:val="00585C3B"/>
    <w:rsid w:val="005A1FDA"/>
    <w:rsid w:val="005A272B"/>
    <w:rsid w:val="005C71BE"/>
    <w:rsid w:val="005D1396"/>
    <w:rsid w:val="00601A6D"/>
    <w:rsid w:val="00614C48"/>
    <w:rsid w:val="00616B1D"/>
    <w:rsid w:val="006352BB"/>
    <w:rsid w:val="00645B2D"/>
    <w:rsid w:val="00656E87"/>
    <w:rsid w:val="00670F52"/>
    <w:rsid w:val="00690439"/>
    <w:rsid w:val="006A550B"/>
    <w:rsid w:val="006B5133"/>
    <w:rsid w:val="006C7696"/>
    <w:rsid w:val="006D0385"/>
    <w:rsid w:val="006D4139"/>
    <w:rsid w:val="006D437D"/>
    <w:rsid w:val="006F6697"/>
    <w:rsid w:val="00734321"/>
    <w:rsid w:val="007355B8"/>
    <w:rsid w:val="0074150B"/>
    <w:rsid w:val="00763056"/>
    <w:rsid w:val="00767C65"/>
    <w:rsid w:val="007735E7"/>
    <w:rsid w:val="007A04CB"/>
    <w:rsid w:val="007A75B0"/>
    <w:rsid w:val="007C1E79"/>
    <w:rsid w:val="007D509D"/>
    <w:rsid w:val="007E42EB"/>
    <w:rsid w:val="0080277F"/>
    <w:rsid w:val="008027A2"/>
    <w:rsid w:val="00804B72"/>
    <w:rsid w:val="0081010D"/>
    <w:rsid w:val="0081442A"/>
    <w:rsid w:val="008323A0"/>
    <w:rsid w:val="008369C5"/>
    <w:rsid w:val="00855F9B"/>
    <w:rsid w:val="00865210"/>
    <w:rsid w:val="008841BA"/>
    <w:rsid w:val="00884B4B"/>
    <w:rsid w:val="00891EC9"/>
    <w:rsid w:val="00897C6B"/>
    <w:rsid w:val="008A5DD9"/>
    <w:rsid w:val="008B2856"/>
    <w:rsid w:val="00905F20"/>
    <w:rsid w:val="00911ADD"/>
    <w:rsid w:val="00914DAC"/>
    <w:rsid w:val="00930970"/>
    <w:rsid w:val="00946C5E"/>
    <w:rsid w:val="00946C7F"/>
    <w:rsid w:val="00947155"/>
    <w:rsid w:val="00981F45"/>
    <w:rsid w:val="009A2F1A"/>
    <w:rsid w:val="009A3065"/>
    <w:rsid w:val="009A53BE"/>
    <w:rsid w:val="009B52ED"/>
    <w:rsid w:val="009C4ED0"/>
    <w:rsid w:val="009D31E2"/>
    <w:rsid w:val="009E3677"/>
    <w:rsid w:val="009E7185"/>
    <w:rsid w:val="009F1732"/>
    <w:rsid w:val="00A05395"/>
    <w:rsid w:val="00A13949"/>
    <w:rsid w:val="00A1639B"/>
    <w:rsid w:val="00A30877"/>
    <w:rsid w:val="00A33407"/>
    <w:rsid w:val="00A42EFE"/>
    <w:rsid w:val="00A526A9"/>
    <w:rsid w:val="00A85BE8"/>
    <w:rsid w:val="00AB0FAC"/>
    <w:rsid w:val="00AB6FA8"/>
    <w:rsid w:val="00AE1D83"/>
    <w:rsid w:val="00AF2CDD"/>
    <w:rsid w:val="00B05DC6"/>
    <w:rsid w:val="00B105C8"/>
    <w:rsid w:val="00B33296"/>
    <w:rsid w:val="00B472F4"/>
    <w:rsid w:val="00B52A8E"/>
    <w:rsid w:val="00B53063"/>
    <w:rsid w:val="00B61B81"/>
    <w:rsid w:val="00B7740F"/>
    <w:rsid w:val="00B97CB0"/>
    <w:rsid w:val="00BB018F"/>
    <w:rsid w:val="00BF25E9"/>
    <w:rsid w:val="00C03678"/>
    <w:rsid w:val="00C244D7"/>
    <w:rsid w:val="00C55493"/>
    <w:rsid w:val="00C64804"/>
    <w:rsid w:val="00C67B3F"/>
    <w:rsid w:val="00C90557"/>
    <w:rsid w:val="00C97EFB"/>
    <w:rsid w:val="00CC7CFF"/>
    <w:rsid w:val="00CC7FE7"/>
    <w:rsid w:val="00D0535C"/>
    <w:rsid w:val="00D17BA5"/>
    <w:rsid w:val="00D27829"/>
    <w:rsid w:val="00D34A55"/>
    <w:rsid w:val="00D36A88"/>
    <w:rsid w:val="00D44A37"/>
    <w:rsid w:val="00D46E7C"/>
    <w:rsid w:val="00D672EF"/>
    <w:rsid w:val="00D94557"/>
    <w:rsid w:val="00DD3728"/>
    <w:rsid w:val="00DE261A"/>
    <w:rsid w:val="00DE6A39"/>
    <w:rsid w:val="00E02532"/>
    <w:rsid w:val="00E16AC5"/>
    <w:rsid w:val="00E33495"/>
    <w:rsid w:val="00E370D5"/>
    <w:rsid w:val="00E44136"/>
    <w:rsid w:val="00E443F1"/>
    <w:rsid w:val="00E45AE0"/>
    <w:rsid w:val="00E4667B"/>
    <w:rsid w:val="00E75D7D"/>
    <w:rsid w:val="00E81C4B"/>
    <w:rsid w:val="00E94CAD"/>
    <w:rsid w:val="00E9525F"/>
    <w:rsid w:val="00EA3185"/>
    <w:rsid w:val="00EB6FCC"/>
    <w:rsid w:val="00EC4A63"/>
    <w:rsid w:val="00EC7AE8"/>
    <w:rsid w:val="00ED0507"/>
    <w:rsid w:val="00ED301D"/>
    <w:rsid w:val="00EE570C"/>
    <w:rsid w:val="00EF24CF"/>
    <w:rsid w:val="00F00B74"/>
    <w:rsid w:val="00F0337A"/>
    <w:rsid w:val="00F13845"/>
    <w:rsid w:val="00F148F4"/>
    <w:rsid w:val="00F60696"/>
    <w:rsid w:val="00F71A24"/>
    <w:rsid w:val="00F806FF"/>
    <w:rsid w:val="00F90190"/>
    <w:rsid w:val="00FA4BC8"/>
    <w:rsid w:val="00FA574F"/>
    <w:rsid w:val="00FA66A8"/>
    <w:rsid w:val="00FB44DE"/>
    <w:rsid w:val="00FB6C4C"/>
    <w:rsid w:val="00FC2E71"/>
    <w:rsid w:val="00FC5AA7"/>
    <w:rsid w:val="00FD1847"/>
    <w:rsid w:val="00FE31A4"/>
    <w:rsid w:val="00FF3A57"/>
    <w:rsid w:val="0386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609D5"/>
  <w15:chartTrackingRefBased/>
  <w15:docId w15:val="{769F3B4C-C1B9-433F-98FB-8FEC5723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06"/>
    <w:pPr>
      <w:spacing w:after="0" w:line="240" w:lineRule="auto"/>
    </w:pPr>
    <w:rPr>
      <w:rFonts w:ascii="Calibri" w:hAnsi="Calibri" w:cs="Calibri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2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970"/>
    <w:rPr>
      <w:rFonts w:ascii="Calibri" w:hAnsi="Calibri" w:cs="Calibri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70"/>
    <w:rPr>
      <w:rFonts w:ascii="Calibri" w:hAnsi="Calibri" w:cs="Calibri"/>
      <w:b/>
      <w:bCs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321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8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5E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7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323"/>
    <w:rPr>
      <w:rFonts w:ascii="Calibri" w:hAnsi="Calibri" w:cs="Calibri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D7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323"/>
    <w:rPr>
      <w:rFonts w:ascii="Calibri" w:hAnsi="Calibri" w:cs="Calibri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8dd806-a5b7-46a5-9c55-c2d3786c84e5">NYSERDAEXT-291816236-472</_dlc_DocId>
    <_dlc_DocIdUrl xmlns="238dd806-a5b7-46a5-9c55-c2d3786c84e5">
      <Url>https://nysemail.sharepoint.com/sites/nyserda-ext/ExternalCollaboration/Contractors/IEDR/PM/_layouts/15/DocIdRedir.aspx?ID=NYSERDAEXT-291816236-472</Url>
      <Description>NYSERDAEXT-291816236-472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5D3D25A5EE0469C509B66CAC5C16E" ma:contentTypeVersion="7009" ma:contentTypeDescription="Create a new document." ma:contentTypeScope="" ma:versionID="29288126077657d83af7ef3048c2f40e">
  <xsd:schema xmlns:xsd="http://www.w3.org/2001/XMLSchema" xmlns:xs="http://www.w3.org/2001/XMLSchema" xmlns:p="http://schemas.microsoft.com/office/2006/metadata/properties" xmlns:ns2="238dd806-a5b7-46a5-9c55-c2d3786c84e5" xmlns:ns3="9ba67b11-7474-4c18-975b-bd1734ab9be6" targetNamespace="http://schemas.microsoft.com/office/2006/metadata/properties" ma:root="true" ma:fieldsID="e338d385b99414279ff91de0bd99348c" ns2:_="" ns3:_="">
    <xsd:import namespace="238dd806-a5b7-46a5-9c55-c2d3786c84e5"/>
    <xsd:import namespace="9ba67b11-7474-4c18-975b-bd1734ab9b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7b11-7474-4c18-975b-bd1734ab9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07440-EEC0-4A70-A63B-14D873D70C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AAC329-AAC6-4422-937C-1717DE63C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118BD-9AD5-498D-A0E1-2D03B93A0FDA}">
  <ds:schemaRefs>
    <ds:schemaRef ds:uri="http://schemas.microsoft.com/office/2006/metadata/properties"/>
    <ds:schemaRef ds:uri="http://schemas.microsoft.com/office/infopath/2007/PartnerControls"/>
    <ds:schemaRef ds:uri="238dd806-a5b7-46a5-9c55-c2d3786c84e5"/>
  </ds:schemaRefs>
</ds:datastoreItem>
</file>

<file path=customXml/itemProps4.xml><?xml version="1.0" encoding="utf-8"?>
<ds:datastoreItem xmlns:ds="http://schemas.openxmlformats.org/officeDocument/2006/customXml" ds:itemID="{632F7A9B-DBA5-464A-9ABB-894BD167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dd806-a5b7-46a5-9c55-c2d3786c84e5"/>
    <ds:schemaRef ds:uri="9ba67b11-7474-4c18-975b-bd1734ab9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Skaf, Marie Sonia</dc:creator>
  <cp:keywords/>
  <dc:description/>
  <cp:lastModifiedBy>DiClemente, Ingrid</cp:lastModifiedBy>
  <cp:revision>3</cp:revision>
  <dcterms:created xsi:type="dcterms:W3CDTF">2022-05-06T14:59:00Z</dcterms:created>
  <dcterms:modified xsi:type="dcterms:W3CDTF">2022-05-09T16:55:00Z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2021-11-12T13:41:21Z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52616246-aae7-485f-9c1d-664f97242344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0x0101007925D3D25A5EE0469C509B66CAC5C16E</vt:lpwstr>
  </property>
  <property fmtid="{D5CDD505-2E9C-101B-9397-08002B2CF9AE}" pid="10" name="_dlc_DocIdItemGuid">
    <vt:lpwstr>03758ef7-ebb1-4194-a462-d337ee3cfc33</vt:lpwstr>
  </property>
</Properties>
</file>