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horzAnchor="margin" w:tblpXSpec="center" w:tblpY="2881"/>
        <w:tblW w:w="4036" w:type="pct"/>
        <w:tblBorders>
          <w:left w:val="single" w:sz="18" w:space="0" w:color="4472C4" w:themeColor="accent1"/>
        </w:tblBorders>
        <w:tblLook w:val="04A0" w:firstRow="1" w:lastRow="0" w:firstColumn="1" w:lastColumn="0" w:noHBand="0" w:noVBand="1"/>
      </w:tblPr>
      <w:tblGrid>
        <w:gridCol w:w="7537"/>
      </w:tblGrid>
      <w:tr w:rsidR="007C140C" w14:paraId="5B0B45EC" w14:textId="77777777" w:rsidTr="009E4A43">
        <w:tc>
          <w:tcPr>
            <w:tcW w:w="7537" w:type="dxa"/>
            <w:tcMar>
              <w:top w:w="216" w:type="dxa"/>
              <w:left w:w="115" w:type="dxa"/>
              <w:bottom w:w="216" w:type="dxa"/>
              <w:right w:w="115" w:type="dxa"/>
            </w:tcMar>
          </w:tcPr>
          <w:p w14:paraId="212672B5" w14:textId="77777777" w:rsidR="007C140C" w:rsidRDefault="00024209" w:rsidP="001341CE">
            <w:pPr>
              <w:jc w:val="both"/>
              <w:rPr>
                <w:rFonts w:asciiTheme="majorHAnsi" w:eastAsiaTheme="majorEastAsia" w:hAnsiTheme="majorHAnsi" w:cstheme="majorBidi"/>
              </w:rPr>
            </w:pPr>
            <w:sdt>
              <w:sdtPr>
                <w:rPr>
                  <w:rFonts w:ascii="Cambria" w:eastAsiaTheme="majorEastAsia" w:hAnsi="Cambria" w:cstheme="majorBidi"/>
                  <w:b/>
                  <w:sz w:val="28"/>
                </w:rPr>
                <w:alias w:val="Company"/>
                <w:id w:val="13406915"/>
                <w:dataBinding w:prefixMappings="xmlns:ns0='http://schemas.openxmlformats.org/officeDocument/2006/extended-properties'" w:xpath="/ns0:Properties[1]/ns0:Company[1]" w:storeItemID="{6668398D-A668-4E3E-A5EB-62B293D839F1}"/>
                <w:text/>
              </w:sdtPr>
              <w:sdtEndPr/>
              <w:sdtContent>
                <w:r w:rsidR="007C140C">
                  <w:rPr>
                    <w:rFonts w:ascii="Cambria" w:eastAsiaTheme="majorEastAsia" w:hAnsi="Cambria" w:cstheme="majorBidi"/>
                    <w:b/>
                    <w:sz w:val="28"/>
                  </w:rPr>
                  <w:t>Large-Scale Renewables</w:t>
                </w:r>
              </w:sdtContent>
            </w:sdt>
          </w:p>
        </w:tc>
      </w:tr>
      <w:tr w:rsidR="007C140C" w14:paraId="6BC92A83" w14:textId="77777777" w:rsidTr="009E4A43">
        <w:tc>
          <w:tcPr>
            <w:tcW w:w="7537" w:type="dxa"/>
          </w:tcPr>
          <w:sdt>
            <w:sdtPr>
              <w:rPr>
                <w:rFonts w:ascii="Cambria" w:eastAsiaTheme="majorEastAsia" w:hAnsi="Cambria" w:cstheme="majorBidi"/>
                <w:color w:val="4472C4"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5A86431A" w14:textId="77777777" w:rsidR="007C140C" w:rsidRPr="00450473" w:rsidRDefault="009E4A43" w:rsidP="001341CE">
                <w:pPr>
                  <w:rPr>
                    <w:rFonts w:ascii="Cambria" w:eastAsiaTheme="majorEastAsia" w:hAnsi="Cambria" w:cstheme="majorBidi"/>
                    <w:color w:val="4472C4" w:themeColor="accent1"/>
                    <w:sz w:val="80"/>
                    <w:szCs w:val="80"/>
                  </w:rPr>
                </w:pPr>
                <w:r>
                  <w:rPr>
                    <w:rFonts w:ascii="Cambria" w:eastAsiaTheme="majorEastAsia" w:hAnsi="Cambria" w:cstheme="majorBidi"/>
                    <w:color w:val="4472C4" w:themeColor="accent1"/>
                    <w:sz w:val="80"/>
                    <w:szCs w:val="80"/>
                  </w:rPr>
                  <w:t>Clean</w:t>
                </w:r>
                <w:r w:rsidR="007C140C">
                  <w:rPr>
                    <w:rFonts w:ascii="Cambria" w:eastAsiaTheme="majorEastAsia" w:hAnsi="Cambria" w:cstheme="majorBidi"/>
                    <w:color w:val="4472C4" w:themeColor="accent1"/>
                    <w:sz w:val="80"/>
                    <w:szCs w:val="80"/>
                  </w:rPr>
                  <w:t xml:space="preserve"> Energy Standard </w:t>
                </w:r>
                <w:r>
                  <w:rPr>
                    <w:rFonts w:ascii="Cambria" w:eastAsiaTheme="majorEastAsia" w:hAnsi="Cambria" w:cstheme="majorBidi"/>
                    <w:color w:val="4472C4" w:themeColor="accent1"/>
                    <w:sz w:val="80"/>
                    <w:szCs w:val="80"/>
                  </w:rPr>
                  <w:t xml:space="preserve">(CES) </w:t>
                </w:r>
                <w:r w:rsidR="007C140C">
                  <w:rPr>
                    <w:rFonts w:ascii="Cambria" w:eastAsiaTheme="majorEastAsia" w:hAnsi="Cambria" w:cstheme="majorBidi"/>
                    <w:color w:val="4472C4" w:themeColor="accent1"/>
                    <w:sz w:val="80"/>
                    <w:szCs w:val="80"/>
                  </w:rPr>
                  <w:t>C</w:t>
                </w:r>
                <w:r>
                  <w:rPr>
                    <w:rFonts w:ascii="Cambria" w:eastAsiaTheme="majorEastAsia" w:hAnsi="Cambria" w:cstheme="majorBidi"/>
                    <w:color w:val="4472C4" w:themeColor="accent1"/>
                    <w:sz w:val="80"/>
                    <w:szCs w:val="80"/>
                  </w:rPr>
                  <w:t>ompliance</w:t>
                </w:r>
              </w:p>
            </w:sdtContent>
          </w:sdt>
        </w:tc>
      </w:tr>
      <w:tr w:rsidR="007C140C" w14:paraId="47E59FAB" w14:textId="77777777" w:rsidTr="009E4A43">
        <w:sdt>
          <w:sdtPr>
            <w:rPr>
              <w:rFonts w:ascii="Cambria" w:eastAsiaTheme="majorEastAsia" w:hAnsi="Cambria" w:cstheme="majorBidi"/>
              <w:b/>
              <w:sz w:val="28"/>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537" w:type="dxa"/>
                <w:tcMar>
                  <w:top w:w="216" w:type="dxa"/>
                  <w:left w:w="115" w:type="dxa"/>
                  <w:bottom w:w="216" w:type="dxa"/>
                  <w:right w:w="115" w:type="dxa"/>
                </w:tcMar>
              </w:tcPr>
              <w:p w14:paraId="1F70DD47" w14:textId="77777777" w:rsidR="007C140C" w:rsidRDefault="009E4A43" w:rsidP="001341CE">
                <w:pPr>
                  <w:jc w:val="both"/>
                  <w:rPr>
                    <w:rFonts w:asciiTheme="majorHAnsi" w:eastAsiaTheme="majorEastAsia" w:hAnsiTheme="majorHAnsi" w:cstheme="majorBidi"/>
                  </w:rPr>
                </w:pPr>
                <w:r>
                  <w:rPr>
                    <w:rFonts w:ascii="Cambria" w:eastAsiaTheme="majorEastAsia" w:hAnsi="Cambria" w:cstheme="majorBidi"/>
                    <w:b/>
                    <w:sz w:val="28"/>
                  </w:rPr>
                  <w:t>A Guidance Document for Load-Serving Entities</w:t>
                </w:r>
              </w:p>
            </w:tc>
          </w:sdtContent>
        </w:sdt>
      </w:tr>
      <w:tr w:rsidR="007C140C" w14:paraId="5D5BC353" w14:textId="77777777" w:rsidTr="009E4A43">
        <w:tc>
          <w:tcPr>
            <w:tcW w:w="7537" w:type="dxa"/>
            <w:tcMar>
              <w:top w:w="216" w:type="dxa"/>
              <w:left w:w="115" w:type="dxa"/>
              <w:bottom w:w="216" w:type="dxa"/>
              <w:right w:w="115" w:type="dxa"/>
            </w:tcMar>
          </w:tcPr>
          <w:p w14:paraId="4F2B49C6" w14:textId="77777777" w:rsidR="007C140C" w:rsidRDefault="007C140C" w:rsidP="001341CE">
            <w:pPr>
              <w:jc w:val="both"/>
              <w:rPr>
                <w:rFonts w:asciiTheme="majorHAnsi" w:eastAsiaTheme="majorEastAsia" w:hAnsiTheme="majorHAnsi" w:cstheme="majorBidi"/>
                <w:b/>
                <w:sz w:val="28"/>
              </w:rPr>
            </w:pPr>
          </w:p>
          <w:p w14:paraId="4ABA04ED" w14:textId="60CE4960" w:rsidR="007C140C" w:rsidRPr="00B9025E" w:rsidRDefault="007C140C" w:rsidP="001341CE">
            <w:pPr>
              <w:jc w:val="both"/>
              <w:rPr>
                <w:rFonts w:asciiTheme="majorHAnsi" w:eastAsiaTheme="majorEastAsia" w:hAnsiTheme="majorHAnsi" w:cstheme="majorBidi"/>
                <w:b/>
                <w:sz w:val="28"/>
              </w:rPr>
            </w:pPr>
            <w:r w:rsidRPr="00450473">
              <w:rPr>
                <w:rFonts w:ascii="Cambria" w:eastAsiaTheme="majorEastAsia" w:hAnsi="Cambria" w:cstheme="majorBidi"/>
                <w:b/>
                <w:sz w:val="28"/>
              </w:rPr>
              <w:t xml:space="preserve">Version 1, </w:t>
            </w:r>
            <w:r w:rsidR="00153B09">
              <w:rPr>
                <w:rFonts w:ascii="Cambria" w:eastAsiaTheme="majorEastAsia" w:hAnsi="Cambria" w:cstheme="majorBidi"/>
                <w:b/>
                <w:sz w:val="28"/>
              </w:rPr>
              <w:t>April</w:t>
            </w:r>
            <w:r>
              <w:rPr>
                <w:rFonts w:ascii="Cambria" w:eastAsiaTheme="majorEastAsia" w:hAnsi="Cambria" w:cstheme="majorBidi"/>
                <w:b/>
                <w:sz w:val="28"/>
              </w:rPr>
              <w:t xml:space="preserve"> </w:t>
            </w:r>
            <w:r w:rsidRPr="00450473">
              <w:rPr>
                <w:rFonts w:ascii="Cambria" w:eastAsiaTheme="majorEastAsia" w:hAnsi="Cambria" w:cstheme="majorBidi"/>
                <w:b/>
                <w:sz w:val="28"/>
              </w:rPr>
              <w:t>201</w:t>
            </w:r>
            <w:r w:rsidR="000A7D41">
              <w:rPr>
                <w:rFonts w:ascii="Cambria" w:eastAsiaTheme="majorEastAsia" w:hAnsi="Cambria" w:cstheme="majorBidi"/>
                <w:b/>
                <w:sz w:val="28"/>
              </w:rPr>
              <w:t>8</w:t>
            </w:r>
          </w:p>
        </w:tc>
      </w:tr>
    </w:tbl>
    <w:p w14:paraId="24612F14" w14:textId="77777777" w:rsidR="007C140C" w:rsidRDefault="007C140C" w:rsidP="00316E8B">
      <w:pPr>
        <w:pStyle w:val="Heading1"/>
      </w:pPr>
    </w:p>
    <w:p w14:paraId="3F57E9A2" w14:textId="77777777" w:rsidR="007C140C" w:rsidRDefault="007C140C" w:rsidP="00316E8B">
      <w:pPr>
        <w:pStyle w:val="Heading1"/>
      </w:pPr>
    </w:p>
    <w:p w14:paraId="2AAABDC0" w14:textId="77777777" w:rsidR="007C140C" w:rsidRDefault="007C140C">
      <w:pPr>
        <w:rPr>
          <w:rFonts w:asciiTheme="majorHAnsi" w:eastAsiaTheme="majorEastAsia" w:hAnsiTheme="majorHAnsi" w:cstheme="majorBidi"/>
          <w:color w:val="2F5496" w:themeColor="accent1" w:themeShade="BF"/>
          <w:sz w:val="32"/>
          <w:szCs w:val="32"/>
        </w:rPr>
      </w:pPr>
      <w:r>
        <w:br w:type="page"/>
      </w:r>
    </w:p>
    <w:p w14:paraId="733E36AE" w14:textId="77777777" w:rsidR="00F04041" w:rsidRDefault="00316E8B" w:rsidP="00316E8B">
      <w:pPr>
        <w:pStyle w:val="Heading1"/>
      </w:pPr>
      <w:r>
        <w:lastRenderedPageBreak/>
        <w:t xml:space="preserve">Overview </w:t>
      </w:r>
    </w:p>
    <w:p w14:paraId="34C49970" w14:textId="64E1D6C4" w:rsidR="00991978" w:rsidRDefault="003E30CE" w:rsidP="00991978">
      <w:r>
        <w:t xml:space="preserve">New York’s Clean Energy Standard (CES) </w:t>
      </w:r>
      <w:r w:rsidR="00991978">
        <w:t xml:space="preserve">requires that 50 percent of New York’s electricity come from </w:t>
      </w:r>
      <w:r w:rsidR="0020775C">
        <w:t xml:space="preserve">qualifying </w:t>
      </w:r>
      <w:r w:rsidR="00991978">
        <w:t>renewable energy sources by 2030. Two of the CES’s primary components are:</w:t>
      </w:r>
      <w:r w:rsidR="00991978" w:rsidRPr="008F61BA">
        <w:t xml:space="preserve"> </w:t>
      </w:r>
      <w:r w:rsidR="002D3CA9">
        <w:t>The</w:t>
      </w:r>
      <w:r w:rsidR="00991978" w:rsidRPr="008F61BA">
        <w:t xml:space="preserve"> Renewable Energy Standard (RES)</w:t>
      </w:r>
      <w:r w:rsidR="00991978">
        <w:t xml:space="preserve"> and the </w:t>
      </w:r>
      <w:r w:rsidR="00991978" w:rsidRPr="008F61BA">
        <w:t>Zero-Emissions Credit (ZEC) requirement</w:t>
      </w:r>
      <w:r w:rsidR="00040092">
        <w:t>.</w:t>
      </w:r>
      <w:r w:rsidR="002D3CA9">
        <w:rPr>
          <w:rStyle w:val="FootnoteReference"/>
        </w:rPr>
        <w:footnoteReference w:id="2"/>
      </w:r>
      <w:r w:rsidR="000B7F26">
        <w:t xml:space="preserve"> </w:t>
      </w:r>
      <w:r w:rsidR="00D97906">
        <w:t>Both the RES and ZEC requirements are implemented through annual obligations on Load-Serving Entities (LSEs).</w:t>
      </w:r>
    </w:p>
    <w:p w14:paraId="09DFABD4" w14:textId="2FF6C21E" w:rsidR="00B4202D" w:rsidRDefault="00991978">
      <w:r>
        <w:t>The purpose of t</w:t>
      </w:r>
      <w:r w:rsidR="00316E8B">
        <w:t xml:space="preserve">his document </w:t>
      </w:r>
      <w:r>
        <w:t xml:space="preserve">is to guide </w:t>
      </w:r>
      <w:r w:rsidR="00316E8B">
        <w:t>LSEs</w:t>
      </w:r>
      <w:r w:rsidR="00B4202D">
        <w:t xml:space="preserve"> providing </w:t>
      </w:r>
      <w:r w:rsidR="000A7D41">
        <w:t xml:space="preserve">retail </w:t>
      </w:r>
      <w:r w:rsidR="00B4202D">
        <w:t>electricity service in New York State</w:t>
      </w:r>
      <w:r w:rsidR="00316E8B">
        <w:t xml:space="preserve"> </w:t>
      </w:r>
      <w:r>
        <w:t>through the process of demonstrating</w:t>
      </w:r>
      <w:r w:rsidR="00316E8B">
        <w:t xml:space="preserve"> compliance with</w:t>
      </w:r>
      <w:r w:rsidR="00D97906">
        <w:t xml:space="preserve"> their annual RES and ZEC obligations</w:t>
      </w:r>
      <w:r w:rsidR="002D3CA9">
        <w:t>.</w:t>
      </w:r>
      <w:r w:rsidR="00316E8B">
        <w:t xml:space="preserve"> </w:t>
      </w:r>
      <w:r w:rsidR="00D97906">
        <w:t xml:space="preserve">It is imperative that each LSE complete its </w:t>
      </w:r>
      <w:r w:rsidR="000B684F">
        <w:t>a</w:t>
      </w:r>
      <w:r w:rsidR="00D97906">
        <w:t xml:space="preserve">nnual </w:t>
      </w:r>
      <w:r w:rsidR="000B684F">
        <w:t>c</w:t>
      </w:r>
      <w:r w:rsidR="00D97906">
        <w:t xml:space="preserve">ompliance </w:t>
      </w:r>
      <w:r w:rsidR="000B684F">
        <w:t>f</w:t>
      </w:r>
      <w:r w:rsidR="00D97906">
        <w:t>iling accurately and on time.</w:t>
      </w:r>
    </w:p>
    <w:p w14:paraId="64CFA61A" w14:textId="3AE9774E" w:rsidR="00A942F8" w:rsidRDefault="00A942F8">
      <w:r>
        <w:t xml:space="preserve">The </w:t>
      </w:r>
      <w:r w:rsidR="001E37AA">
        <w:t>Public Service Commission (</w:t>
      </w:r>
      <w:r>
        <w:t>PSC</w:t>
      </w:r>
      <w:r w:rsidR="001E37AA">
        <w:t>)</w:t>
      </w:r>
      <w:r>
        <w:t xml:space="preserve"> requires NYSERDA to report on the individual compliance status of each LSEs with a CES obligation</w:t>
      </w:r>
      <w:r w:rsidR="000B7F26">
        <w:t xml:space="preserve">. </w:t>
      </w:r>
      <w:r>
        <w:t xml:space="preserve">As a result, </w:t>
      </w:r>
      <w:r w:rsidR="002D3CA9">
        <w:t>each</w:t>
      </w:r>
      <w:r w:rsidR="003E30CE">
        <w:t xml:space="preserve"> LSE</w:t>
      </w:r>
      <w:r w:rsidR="002D3CA9">
        <w:t xml:space="preserve"> mu</w:t>
      </w:r>
      <w:r w:rsidR="003E30CE">
        <w:t>s</w:t>
      </w:r>
      <w:r w:rsidR="002D3CA9">
        <w:t>t</w:t>
      </w:r>
      <w:r>
        <w:t xml:space="preserve"> submit </w:t>
      </w:r>
      <w:r w:rsidR="002D3CA9">
        <w:t xml:space="preserve">an </w:t>
      </w:r>
      <w:r w:rsidR="000B684F">
        <w:t>a</w:t>
      </w:r>
      <w:r w:rsidR="003E30CE">
        <w:t xml:space="preserve">nnual </w:t>
      </w:r>
      <w:r w:rsidR="000B684F">
        <w:t xml:space="preserve">RES </w:t>
      </w:r>
      <w:r>
        <w:t xml:space="preserve">Compliance </w:t>
      </w:r>
      <w:r w:rsidR="000B684F">
        <w:t xml:space="preserve">Report </w:t>
      </w:r>
      <w:r w:rsidR="003E2258">
        <w:t xml:space="preserve">to </w:t>
      </w:r>
      <w:r w:rsidR="00875A38">
        <w:t xml:space="preserve">demonstrate </w:t>
      </w:r>
      <w:r w:rsidR="002D3CA9">
        <w:t>its satisfaction of</w:t>
      </w:r>
      <w:r w:rsidR="003E2258">
        <w:t xml:space="preserve"> RES and ZEC </w:t>
      </w:r>
      <w:r w:rsidR="002D3CA9">
        <w:t>obligations</w:t>
      </w:r>
      <w:r w:rsidR="000B7F26">
        <w:t xml:space="preserve">. </w:t>
      </w:r>
    </w:p>
    <w:p w14:paraId="0D24153B" w14:textId="77777777" w:rsidR="003E30CE" w:rsidRDefault="00A942F8">
      <w:r>
        <w:t xml:space="preserve">In addition to reporting on the status of </w:t>
      </w:r>
      <w:r w:rsidR="00D97906">
        <w:t xml:space="preserve">individual </w:t>
      </w:r>
      <w:r>
        <w:t xml:space="preserve">LSE compliance, </w:t>
      </w:r>
      <w:r w:rsidR="00875A38">
        <w:t xml:space="preserve">NYSERDA is </w:t>
      </w:r>
      <w:r>
        <w:t xml:space="preserve">also </w:t>
      </w:r>
      <w:r w:rsidR="00875A38">
        <w:t xml:space="preserve">required to prepare </w:t>
      </w:r>
      <w:r w:rsidR="00D97906">
        <w:t>a</w:t>
      </w:r>
      <w:r>
        <w:t xml:space="preserve"> public</w:t>
      </w:r>
      <w:r w:rsidR="00D97906">
        <w:t xml:space="preserve"> </w:t>
      </w:r>
      <w:r>
        <w:t>CES Compliance Summary Report</w:t>
      </w:r>
      <w:r w:rsidR="003E2258">
        <w:t xml:space="preserve"> </w:t>
      </w:r>
      <w:r>
        <w:t>that</w:t>
      </w:r>
      <w:r w:rsidR="003E2258">
        <w:t xml:space="preserve"> aggregate</w:t>
      </w:r>
      <w:r>
        <w:t>s the compliance data of all LSEs and tracks the overall progress towards</w:t>
      </w:r>
      <w:r w:rsidR="003E2258">
        <w:t xml:space="preserve"> CES goals.</w:t>
      </w:r>
      <w:r>
        <w:t xml:space="preserve"> </w:t>
      </w:r>
      <w:r w:rsidR="001E37AA">
        <w:t>For</w:t>
      </w:r>
      <w:r>
        <w:t xml:space="preserve"> this CES Compliance Summary Report, LSE compliance data are only provided in aggregate, and conclusions about compliance or non-compliance are reported without attribution to individual LSEs.</w:t>
      </w:r>
    </w:p>
    <w:p w14:paraId="3C4F2D7C" w14:textId="1E86484F" w:rsidR="00D97906" w:rsidRDefault="00D97906">
      <w:r>
        <w:t xml:space="preserve">The remainder of this document provides summaries of LSE obligations, and links to additional resources to help ensure all LSEs’ successful completion of </w:t>
      </w:r>
      <w:r w:rsidR="003A51F1">
        <w:t>a</w:t>
      </w:r>
      <w:r>
        <w:t xml:space="preserve">nnual </w:t>
      </w:r>
      <w:r w:rsidR="003A51F1">
        <w:t>c</w:t>
      </w:r>
      <w:r>
        <w:t xml:space="preserve">ompliance </w:t>
      </w:r>
      <w:r w:rsidR="003A51F1">
        <w:t>f</w:t>
      </w:r>
      <w:r>
        <w:t>ilings.</w:t>
      </w:r>
    </w:p>
    <w:p w14:paraId="4490B89A" w14:textId="77777777" w:rsidR="00852905" w:rsidRDefault="00852905" w:rsidP="00852905">
      <w:pPr>
        <w:pStyle w:val="Heading1"/>
      </w:pPr>
      <w:r>
        <w:t>Organization of this Document</w:t>
      </w:r>
    </w:p>
    <w:p w14:paraId="7F06BB84" w14:textId="77777777" w:rsidR="0007320D" w:rsidRDefault="0007320D" w:rsidP="006F2E16">
      <w:r>
        <w:t>Th</w:t>
      </w:r>
      <w:r w:rsidR="00D97906">
        <w:t>is</w:t>
      </w:r>
      <w:r>
        <w:t xml:space="preserve"> document:</w:t>
      </w:r>
    </w:p>
    <w:p w14:paraId="4054B369" w14:textId="77777777" w:rsidR="0007320D" w:rsidRDefault="0007320D" w:rsidP="0007320D">
      <w:pPr>
        <w:pStyle w:val="ListParagraph"/>
        <w:numPr>
          <w:ilvl w:val="0"/>
          <w:numId w:val="5"/>
        </w:numPr>
      </w:pPr>
      <w:r>
        <w:t>O</w:t>
      </w:r>
      <w:r w:rsidR="006F2E16">
        <w:t xml:space="preserve">utlines </w:t>
      </w:r>
      <w:r w:rsidR="00D97906">
        <w:t xml:space="preserve">the </w:t>
      </w:r>
      <w:r w:rsidR="00322DA7">
        <w:t xml:space="preserve">obligations, </w:t>
      </w:r>
      <w:r w:rsidR="006F2E16">
        <w:t xml:space="preserve">key </w:t>
      </w:r>
      <w:r>
        <w:t xml:space="preserve">requirements and </w:t>
      </w:r>
      <w:r w:rsidR="00322DA7">
        <w:t xml:space="preserve">milestone </w:t>
      </w:r>
      <w:r w:rsidR="006F2E16">
        <w:t xml:space="preserve">dates in the annual CES compliance process, </w:t>
      </w:r>
    </w:p>
    <w:p w14:paraId="0C7391BF" w14:textId="77777777" w:rsidR="0007320D" w:rsidRDefault="0007320D" w:rsidP="0007320D">
      <w:pPr>
        <w:pStyle w:val="ListParagraph"/>
        <w:numPr>
          <w:ilvl w:val="0"/>
          <w:numId w:val="5"/>
        </w:numPr>
      </w:pPr>
      <w:r>
        <w:t>D</w:t>
      </w:r>
      <w:r w:rsidR="006F2E16">
        <w:t xml:space="preserve">escribes the </w:t>
      </w:r>
      <w:r>
        <w:t>collection and validation of LSE complia</w:t>
      </w:r>
      <w:r w:rsidR="0027472E">
        <w:t xml:space="preserve">nce data </w:t>
      </w:r>
      <w:r>
        <w:t xml:space="preserve">through </w:t>
      </w:r>
      <w:r w:rsidR="0027472E">
        <w:t xml:space="preserve">NYGATS accounts, </w:t>
      </w:r>
      <w:r w:rsidR="003E30CE">
        <w:t>and</w:t>
      </w:r>
    </w:p>
    <w:p w14:paraId="48AB149E" w14:textId="77777777" w:rsidR="0007320D" w:rsidRPr="0007320D" w:rsidRDefault="0007320D" w:rsidP="0007320D">
      <w:pPr>
        <w:pStyle w:val="ListParagraph"/>
        <w:numPr>
          <w:ilvl w:val="0"/>
          <w:numId w:val="5"/>
        </w:numPr>
      </w:pPr>
      <w:r>
        <w:t>P</w:t>
      </w:r>
      <w:r w:rsidR="0027472E">
        <w:t xml:space="preserve">rovides instructions </w:t>
      </w:r>
      <w:r>
        <w:t xml:space="preserve">for </w:t>
      </w:r>
      <w:r w:rsidR="003E2258">
        <w:t xml:space="preserve">submitting </w:t>
      </w:r>
      <w:r w:rsidR="006F2E16">
        <w:t xml:space="preserve">annual </w:t>
      </w:r>
      <w:r>
        <w:t xml:space="preserve">LSE </w:t>
      </w:r>
      <w:r w:rsidR="006F2E16">
        <w:t>compliance filings</w:t>
      </w:r>
      <w:r>
        <w:t xml:space="preserve"> </w:t>
      </w:r>
      <w:r w:rsidR="006F2E16">
        <w:t xml:space="preserve">for both the RES and ZEC </w:t>
      </w:r>
      <w:r w:rsidR="006F2E16" w:rsidRPr="0007320D">
        <w:t>program</w:t>
      </w:r>
      <w:r w:rsidR="003E2258">
        <w:t>s.</w:t>
      </w:r>
    </w:p>
    <w:p w14:paraId="6642CF22" w14:textId="77777777" w:rsidR="008F61BA" w:rsidRDefault="008F61BA" w:rsidP="00852905">
      <w:pPr>
        <w:pStyle w:val="Heading1"/>
      </w:pPr>
      <w:r>
        <w:t>RES Obligations</w:t>
      </w:r>
    </w:p>
    <w:p w14:paraId="2C112E1C" w14:textId="18A84906" w:rsidR="008F61BA" w:rsidRDefault="00C36D8A">
      <w:r>
        <w:t>Each year, a</w:t>
      </w:r>
      <w:r w:rsidR="008F61BA">
        <w:t xml:space="preserve">ll LSEs in New York </w:t>
      </w:r>
      <w:r w:rsidR="00765274">
        <w:t xml:space="preserve">have an obligation to </w:t>
      </w:r>
      <w:r w:rsidR="008F61BA">
        <w:t xml:space="preserve">supply their retail customers with a specified percentage of </w:t>
      </w:r>
      <w:r w:rsidR="000C1730">
        <w:t xml:space="preserve">energy from </w:t>
      </w:r>
      <w:r w:rsidR="008F61BA">
        <w:t xml:space="preserve">new renewable resources, represented by </w:t>
      </w:r>
      <w:r w:rsidR="000B7F26">
        <w:t xml:space="preserve">New York </w:t>
      </w:r>
      <w:r w:rsidR="008F61BA">
        <w:t>Tier 1 renewable energy credits (RECs).</w:t>
      </w:r>
      <w:r w:rsidR="00AC74F1">
        <w:t xml:space="preserve"> </w:t>
      </w:r>
      <w:r w:rsidR="00D97906">
        <w:t>Each LSE’s annual RES c</w:t>
      </w:r>
      <w:r w:rsidR="00AC74F1">
        <w:t>ompliance obligation</w:t>
      </w:r>
      <w:r w:rsidR="00D97906">
        <w:t xml:space="preserve"> i</w:t>
      </w:r>
      <w:r w:rsidR="00AC74F1">
        <w:t xml:space="preserve">s the </w:t>
      </w:r>
      <w:r w:rsidR="0007320D">
        <w:t xml:space="preserve">product of </w:t>
      </w:r>
      <w:r w:rsidR="00D97906">
        <w:t>annual</w:t>
      </w:r>
      <w:r w:rsidR="00AC74F1">
        <w:t xml:space="preserve"> LSE</w:t>
      </w:r>
      <w:r w:rsidR="0007320D">
        <w:t xml:space="preserve"> load and the percentage compliance target for the applicable year</w:t>
      </w:r>
      <w:r w:rsidR="000B7F26">
        <w:t xml:space="preserve"> as established by the </w:t>
      </w:r>
      <w:r w:rsidR="00153B09">
        <w:t>PSC</w:t>
      </w:r>
      <w:r w:rsidR="000B7F26">
        <w:t xml:space="preserve">. </w:t>
      </w:r>
      <w:r w:rsidR="00CA03DD">
        <w:t xml:space="preserve">LSEs </w:t>
      </w:r>
      <w:r w:rsidR="00B4376A">
        <w:t>can</w:t>
      </w:r>
      <w:r w:rsidR="00CA03DD">
        <w:t xml:space="preserve"> </w:t>
      </w:r>
      <w:r w:rsidR="00B4376A">
        <w:t xml:space="preserve">achieve </w:t>
      </w:r>
      <w:r w:rsidR="0007320D">
        <w:t xml:space="preserve">annual RES </w:t>
      </w:r>
      <w:r w:rsidR="00CA03DD">
        <w:t>compliance</w:t>
      </w:r>
      <w:r w:rsidR="009A167D">
        <w:t xml:space="preserve"> </w:t>
      </w:r>
      <w:r w:rsidR="006B60B8">
        <w:t xml:space="preserve">through a combination of any of the following </w:t>
      </w:r>
      <w:r w:rsidR="00362A25">
        <w:t>three mechanisms</w:t>
      </w:r>
      <w:r w:rsidR="00CA03DD">
        <w:t>:</w:t>
      </w:r>
    </w:p>
    <w:p w14:paraId="2A22AB16" w14:textId="59246B44" w:rsidR="008F61BA" w:rsidRDefault="006B60B8" w:rsidP="00CA03DD">
      <w:pPr>
        <w:pStyle w:val="ListParagraph"/>
        <w:numPr>
          <w:ilvl w:val="0"/>
          <w:numId w:val="1"/>
        </w:numPr>
      </w:pPr>
      <w:r>
        <w:t>Tier 1</w:t>
      </w:r>
      <w:r w:rsidR="25EECDD9">
        <w:t xml:space="preserve"> RECs </w:t>
      </w:r>
      <w:r w:rsidR="0097389F" w:rsidRPr="00B75D99">
        <w:t xml:space="preserve">purchased </w:t>
      </w:r>
      <w:r w:rsidR="25EECDD9" w:rsidRPr="00B75D99">
        <w:t>from NYSERDA</w:t>
      </w:r>
      <w:r w:rsidR="0007320D">
        <w:t>,</w:t>
      </w:r>
    </w:p>
    <w:p w14:paraId="0F0A2657" w14:textId="77777777" w:rsidR="00CA03DD" w:rsidRDefault="006B60B8" w:rsidP="00CA03DD">
      <w:pPr>
        <w:pStyle w:val="ListParagraph"/>
        <w:numPr>
          <w:ilvl w:val="0"/>
          <w:numId w:val="1"/>
        </w:numPr>
      </w:pPr>
      <w:r>
        <w:t>Tier 1</w:t>
      </w:r>
      <w:r w:rsidR="00CA03DD">
        <w:t xml:space="preserve"> RECs </w:t>
      </w:r>
      <w:r w:rsidR="003A47CE">
        <w:t xml:space="preserve">purchased </w:t>
      </w:r>
      <w:r w:rsidR="00CA03DD">
        <w:t>from a third party</w:t>
      </w:r>
      <w:r w:rsidR="0007320D">
        <w:t>,</w:t>
      </w:r>
      <w:r w:rsidR="003E2258">
        <w:t xml:space="preserve"> or</w:t>
      </w:r>
    </w:p>
    <w:p w14:paraId="136D85B0" w14:textId="6724B698" w:rsidR="00CA03DD" w:rsidRDefault="00153B09" w:rsidP="00CA03DD">
      <w:pPr>
        <w:pStyle w:val="ListParagraph"/>
        <w:numPr>
          <w:ilvl w:val="0"/>
          <w:numId w:val="1"/>
        </w:numPr>
      </w:pPr>
      <w:r>
        <w:t xml:space="preserve">Provision of </w:t>
      </w:r>
      <w:r w:rsidR="00050016">
        <w:t>A</w:t>
      </w:r>
      <w:r w:rsidR="004E2A8C">
        <w:t xml:space="preserve">lternative </w:t>
      </w:r>
      <w:r w:rsidR="00050016">
        <w:t>C</w:t>
      </w:r>
      <w:r w:rsidR="004E2A8C">
        <w:t xml:space="preserve">ompliance </w:t>
      </w:r>
      <w:r w:rsidR="00050016">
        <w:t>P</w:t>
      </w:r>
      <w:r w:rsidR="004E2A8C">
        <w:t>ayments (ACPs)</w:t>
      </w:r>
    </w:p>
    <w:p w14:paraId="63ABFBBB" w14:textId="77777777" w:rsidR="00E7468C" w:rsidRDefault="00E7468C" w:rsidP="00E7468C">
      <w:pPr>
        <w:pStyle w:val="Heading2"/>
      </w:pPr>
      <w:r>
        <w:lastRenderedPageBreak/>
        <w:t>Annual RES Obligation</w:t>
      </w:r>
    </w:p>
    <w:p w14:paraId="0779B89C" w14:textId="56B3D205" w:rsidR="00E7468C" w:rsidRDefault="00E7468C" w:rsidP="004A70E5">
      <w:r>
        <w:t xml:space="preserve">The PSC </w:t>
      </w:r>
      <w:hyperlink r:id="rId11" w:history="1">
        <w:r w:rsidRPr="00770F21">
          <w:rPr>
            <w:rStyle w:val="Hyperlink"/>
          </w:rPr>
          <w:t>Order Implementing the Clean Energy Standard</w:t>
        </w:r>
      </w:hyperlink>
      <w:r>
        <w:t xml:space="preserve"> (“the CES Order”) set the annual RES obligations for all LSEs, represented as the percentage of the LSE’s load that must be met with Tier 1 RECs. The </w:t>
      </w:r>
      <w:hyperlink r:id="rId12" w:history="1">
        <w:r w:rsidRPr="00770F21">
          <w:rPr>
            <w:rStyle w:val="Hyperlink"/>
          </w:rPr>
          <w:t>Phase 2 Implementation Plan</w:t>
        </w:r>
      </w:hyperlink>
      <w:r>
        <w:t xml:space="preserve"> revised the annual percentage obligations through 2021. Obligation percentages for subsequent years will be developed on a projected three-year rolling average basis. See </w:t>
      </w:r>
      <w:hyperlink r:id="rId13" w:history="1">
        <w:r w:rsidRPr="00AC4531">
          <w:rPr>
            <w:rStyle w:val="Hyperlink"/>
          </w:rPr>
          <w:t>NYSERDA’s CES site</w:t>
        </w:r>
      </w:hyperlink>
      <w:r>
        <w:t xml:space="preserve">  for all relevant PSC orders and implementation filings. </w:t>
      </w:r>
    </w:p>
    <w:p w14:paraId="6BAE7F9C" w14:textId="7E89CC90" w:rsidR="00E853FD" w:rsidRDefault="00E853FD" w:rsidP="00852905">
      <w:pPr>
        <w:pStyle w:val="Heading2"/>
      </w:pPr>
      <w:r>
        <w:t xml:space="preserve">Using NYGATS to manage </w:t>
      </w:r>
      <w:r w:rsidR="006E3D5D">
        <w:t xml:space="preserve">RES </w:t>
      </w:r>
      <w:r>
        <w:t>compliance</w:t>
      </w:r>
    </w:p>
    <w:p w14:paraId="2062793D" w14:textId="383EC5C1" w:rsidR="00490E99" w:rsidRDefault="0075072B" w:rsidP="00CA03DD">
      <w:r>
        <w:t xml:space="preserve">Because </w:t>
      </w:r>
      <w:r w:rsidR="00B525B1">
        <w:t xml:space="preserve">LSEs manage their </w:t>
      </w:r>
      <w:r w:rsidR="005C18BD">
        <w:t xml:space="preserve">REC </w:t>
      </w:r>
      <w:r>
        <w:t xml:space="preserve">holdings, </w:t>
      </w:r>
      <w:r w:rsidR="00B525B1">
        <w:t>RES obligation</w:t>
      </w:r>
      <w:r w:rsidR="00FE16B3">
        <w:t>s,</w:t>
      </w:r>
      <w:r w:rsidR="00B525B1">
        <w:t xml:space="preserve"> </w:t>
      </w:r>
      <w:r w:rsidR="005C18BD">
        <w:t>and compliance</w:t>
      </w:r>
      <w:r>
        <w:t xml:space="preserve"> activity</w:t>
      </w:r>
      <w:r w:rsidR="005C18BD">
        <w:t xml:space="preserve"> </w:t>
      </w:r>
      <w:r w:rsidR="00B525B1">
        <w:t xml:space="preserve">in </w:t>
      </w:r>
      <w:r w:rsidR="00B525B1" w:rsidRPr="00B525B1">
        <w:t>the New York Generation Attribute Tracking System (NYGATS)</w:t>
      </w:r>
      <w:r w:rsidR="00B525B1">
        <w:t xml:space="preserve">, </w:t>
      </w:r>
      <w:r>
        <w:t>they</w:t>
      </w:r>
      <w:r w:rsidR="00B525B1">
        <w:t xml:space="preserve"> must </w:t>
      </w:r>
      <w:r w:rsidR="006E3D5D">
        <w:t xml:space="preserve">first </w:t>
      </w:r>
      <w:r w:rsidR="00B525B1">
        <w:t>register and create an account in NYGATS</w:t>
      </w:r>
      <w:r w:rsidR="000B7F26">
        <w:t xml:space="preserve">. </w:t>
      </w:r>
      <w:r w:rsidR="00F67AAB">
        <w:t>For instructions on how to register an account, visit NYSERDA’s</w:t>
      </w:r>
      <w:r w:rsidR="00CB62AF">
        <w:t xml:space="preserve"> </w:t>
      </w:r>
      <w:hyperlink r:id="rId14" w:history="1">
        <w:r w:rsidR="009E05C5">
          <w:rPr>
            <w:rStyle w:val="Hyperlink"/>
          </w:rPr>
          <w:t>NYGATS I</w:t>
        </w:r>
        <w:r w:rsidR="00CB62AF" w:rsidRPr="00A942F8">
          <w:rPr>
            <w:rStyle w:val="Hyperlink"/>
          </w:rPr>
          <w:t xml:space="preserve">nformation </w:t>
        </w:r>
        <w:r w:rsidR="009E05C5">
          <w:rPr>
            <w:rStyle w:val="Hyperlink"/>
          </w:rPr>
          <w:t>P</w:t>
        </w:r>
        <w:r w:rsidR="00F67AAB" w:rsidRPr="00A942F8">
          <w:rPr>
            <w:rStyle w:val="Hyperlink"/>
          </w:rPr>
          <w:t>age</w:t>
        </w:r>
      </w:hyperlink>
      <w:r w:rsidR="00F67AAB">
        <w:t xml:space="preserve"> and review the </w:t>
      </w:r>
      <w:hyperlink r:id="rId15" w:history="1">
        <w:r w:rsidR="00F67AAB" w:rsidRPr="00A942F8">
          <w:rPr>
            <w:rStyle w:val="Hyperlink"/>
          </w:rPr>
          <w:t>NYGATS Registration Documents</w:t>
        </w:r>
      </w:hyperlink>
      <w:r w:rsidR="000B7F26">
        <w:t xml:space="preserve">. </w:t>
      </w:r>
    </w:p>
    <w:p w14:paraId="7CD1CC7C" w14:textId="4B8CE0CF" w:rsidR="006E3D5D" w:rsidRDefault="0007320D" w:rsidP="00CA03DD">
      <w:r>
        <w:t>All LSEs are responsible for understanding the NYGATS registration</w:t>
      </w:r>
      <w:r w:rsidR="00153B09">
        <w:t xml:space="preserve">, </w:t>
      </w:r>
      <w:r>
        <w:t>account management processes</w:t>
      </w:r>
      <w:r w:rsidR="00153B09">
        <w:t xml:space="preserve"> and any rules regarding REC banking or transfers as established by the PSC</w:t>
      </w:r>
      <w:r>
        <w:t xml:space="preserve">, including </w:t>
      </w:r>
      <w:r w:rsidR="00E36ADB">
        <w:t xml:space="preserve">all steps required to successfully transfer Tier 1 RECs between accounts and subaccounts – including </w:t>
      </w:r>
      <w:r w:rsidR="000C4BD3">
        <w:t xml:space="preserve">Tier 1 </w:t>
      </w:r>
      <w:r w:rsidR="00E82AED">
        <w:t xml:space="preserve">RECs </w:t>
      </w:r>
      <w:r w:rsidR="00E36ADB">
        <w:t xml:space="preserve">banked </w:t>
      </w:r>
      <w:r w:rsidR="00E82AED">
        <w:t xml:space="preserve">for </w:t>
      </w:r>
      <w:r w:rsidR="00E36ADB">
        <w:t>compliance – and to submit complete and accurate compliance filings on an annual basis</w:t>
      </w:r>
      <w:r w:rsidR="000B7F26">
        <w:t xml:space="preserve">. </w:t>
      </w:r>
      <w:r w:rsidR="00E36ADB">
        <w:t xml:space="preserve">LSEs not yet fluent in NYGATS processes should </w:t>
      </w:r>
      <w:r w:rsidR="006E3D5D">
        <w:t xml:space="preserve">prioritize an immediate </w:t>
      </w:r>
      <w:r w:rsidR="00E36ADB">
        <w:t xml:space="preserve">review </w:t>
      </w:r>
      <w:r w:rsidR="006E3D5D">
        <w:t xml:space="preserve">of </w:t>
      </w:r>
      <w:r w:rsidR="00E36ADB">
        <w:t>the</w:t>
      </w:r>
      <w:r w:rsidR="001E37AA">
        <w:t xml:space="preserve"> </w:t>
      </w:r>
      <w:hyperlink r:id="rId16" w:history="1">
        <w:r w:rsidR="001E37AA" w:rsidRPr="001E37AA">
          <w:rPr>
            <w:rStyle w:val="Hyperlink"/>
          </w:rPr>
          <w:t>How to Use NYGATs</w:t>
        </w:r>
      </w:hyperlink>
      <w:r w:rsidR="001E37AA">
        <w:t xml:space="preserve"> page on the CES website</w:t>
      </w:r>
      <w:r w:rsidR="000B7F26">
        <w:t xml:space="preserve">. </w:t>
      </w:r>
      <w:r w:rsidR="00774AB0">
        <w:t xml:space="preserve">LSEs </w:t>
      </w:r>
      <w:r w:rsidR="006E3D5D">
        <w:t>must fully understand the</w:t>
      </w:r>
      <w:r w:rsidR="005E3404">
        <w:t xml:space="preserve"> </w:t>
      </w:r>
      <w:r w:rsidR="00E36ADB">
        <w:t xml:space="preserve">relationships between all </w:t>
      </w:r>
      <w:r w:rsidR="00774AB0">
        <w:t xml:space="preserve">NYGATS </w:t>
      </w:r>
      <w:r w:rsidR="00E36ADB">
        <w:t xml:space="preserve">subaccounts to ensure that REC transfer and deposit errors are minimized. </w:t>
      </w:r>
    </w:p>
    <w:p w14:paraId="1190460A" w14:textId="76993A9D" w:rsidR="006E3D5D" w:rsidRDefault="006E3D5D" w:rsidP="00CA03DD">
      <w:r w:rsidRPr="006E3D5D">
        <w:rPr>
          <w:b/>
        </w:rPr>
        <w:t>Questions?</w:t>
      </w:r>
      <w:r>
        <w:t xml:space="preserve"> </w:t>
      </w:r>
      <w:r w:rsidR="00774AB0">
        <w:t xml:space="preserve">LSEs should direct questions about NYGATS to the NYGATS administrator at 408-642-0167 or </w:t>
      </w:r>
      <w:hyperlink r:id="rId17" w:history="1">
        <w:r w:rsidR="00E7468C" w:rsidRPr="00E7468C">
          <w:rPr>
            <w:rStyle w:val="Hyperlink"/>
          </w:rPr>
          <w:t>NYGATS@apx.com</w:t>
        </w:r>
      </w:hyperlink>
      <w:r w:rsidR="000B7F26">
        <w:t xml:space="preserve">. </w:t>
      </w:r>
    </w:p>
    <w:p w14:paraId="66DB962B" w14:textId="77777777" w:rsidR="006E3D5D" w:rsidRPr="006E3D5D" w:rsidRDefault="006E3D5D" w:rsidP="006E3D5D">
      <w:pPr>
        <w:spacing w:before="40" w:after="0"/>
        <w:rPr>
          <w:rFonts w:asciiTheme="majorHAnsi" w:eastAsiaTheme="majorEastAsia" w:hAnsiTheme="majorHAnsi" w:cstheme="majorBidi"/>
          <w:color w:val="2F5496" w:themeColor="accent1" w:themeShade="BF"/>
          <w:sz w:val="26"/>
          <w:szCs w:val="26"/>
        </w:rPr>
      </w:pPr>
      <w:r w:rsidRPr="006E3D5D">
        <w:rPr>
          <w:rFonts w:asciiTheme="majorHAnsi" w:eastAsiaTheme="majorEastAsia" w:hAnsiTheme="majorHAnsi" w:cstheme="majorBidi"/>
          <w:color w:val="2F5496" w:themeColor="accent1" w:themeShade="BF"/>
          <w:sz w:val="26"/>
          <w:szCs w:val="26"/>
        </w:rPr>
        <w:t xml:space="preserve">Environmental Disclosure </w:t>
      </w:r>
      <w:r>
        <w:rPr>
          <w:rFonts w:asciiTheme="majorHAnsi" w:eastAsiaTheme="majorEastAsia" w:hAnsiTheme="majorHAnsi" w:cstheme="majorBidi"/>
          <w:color w:val="2F5496" w:themeColor="accent1" w:themeShade="BF"/>
          <w:sz w:val="26"/>
          <w:szCs w:val="26"/>
        </w:rPr>
        <w:t xml:space="preserve">Label </w:t>
      </w:r>
      <w:r w:rsidRPr="006E3D5D">
        <w:rPr>
          <w:rFonts w:asciiTheme="majorHAnsi" w:eastAsiaTheme="majorEastAsia" w:hAnsiTheme="majorHAnsi" w:cstheme="majorBidi"/>
          <w:color w:val="2F5496" w:themeColor="accent1" w:themeShade="BF"/>
          <w:sz w:val="26"/>
          <w:szCs w:val="26"/>
        </w:rPr>
        <w:t>Program</w:t>
      </w:r>
    </w:p>
    <w:p w14:paraId="111CD3BA" w14:textId="6F6A9BEF" w:rsidR="00D17336" w:rsidRDefault="00D17336" w:rsidP="00CA03DD">
      <w:r>
        <w:t xml:space="preserve">New York’s Environmental Disclosure Label Program was established in </w:t>
      </w:r>
      <w:r w:rsidR="00153B09">
        <w:t>1998 and</w:t>
      </w:r>
      <w:r>
        <w:t xml:space="preserve"> requires all LSEs </w:t>
      </w:r>
      <w:r w:rsidRPr="00D17336">
        <w:t xml:space="preserve">to </w:t>
      </w:r>
      <w:r>
        <w:t xml:space="preserve">periodically </w:t>
      </w:r>
      <w:r w:rsidRPr="00D17336">
        <w:t>provide customers with labels</w:t>
      </w:r>
      <w:r>
        <w:t xml:space="preserve"> that</w:t>
      </w:r>
      <w:r w:rsidRPr="00D17336">
        <w:t xml:space="preserve"> </w:t>
      </w:r>
      <w:r>
        <w:t>include information</w:t>
      </w:r>
      <w:r w:rsidRPr="00D17336">
        <w:t xml:space="preserve"> </w:t>
      </w:r>
      <w:r>
        <w:t xml:space="preserve">on </w:t>
      </w:r>
      <w:r w:rsidRPr="00D17336">
        <w:t>the types of fuels used to generate electricity, air emissions resulting from generating electricity, and a comparison of those emissions to a statewide average</w:t>
      </w:r>
      <w:r w:rsidR="000B7F26">
        <w:t xml:space="preserve">. </w:t>
      </w:r>
      <w:r w:rsidRPr="00D17336">
        <w:t xml:space="preserve">This information </w:t>
      </w:r>
      <w:r>
        <w:t xml:space="preserve">is intended to </w:t>
      </w:r>
      <w:r w:rsidRPr="00D17336">
        <w:t>enable consumers</w:t>
      </w:r>
      <w:r>
        <w:t xml:space="preserve"> to </w:t>
      </w:r>
      <w:r w:rsidRPr="00D17336">
        <w:t xml:space="preserve">select an electricity supplier based on </w:t>
      </w:r>
      <w:r>
        <w:t>the characteristics of the offered power supply.</w:t>
      </w:r>
    </w:p>
    <w:p w14:paraId="19F353D3" w14:textId="12B0423F" w:rsidR="00E36ADB" w:rsidRDefault="00D17336" w:rsidP="00CA03DD">
      <w:r>
        <w:t>All LSE</w:t>
      </w:r>
      <w:r w:rsidR="00236A36">
        <w:t>s</w:t>
      </w:r>
      <w:r>
        <w:t xml:space="preserve"> must become familiar with how RECs are recorded for both RES compliance and environmental disclosure labeling</w:t>
      </w:r>
      <w:r w:rsidR="000B7F26">
        <w:t xml:space="preserve">. </w:t>
      </w:r>
      <w:r>
        <w:t xml:space="preserve">Information on disclosure labeling can be found on the </w:t>
      </w:r>
      <w:hyperlink r:id="rId18" w:history="1">
        <w:r w:rsidR="00E36ADB" w:rsidRPr="00875A38">
          <w:rPr>
            <w:rStyle w:val="Hyperlink"/>
          </w:rPr>
          <w:t>Environmental Disclosure Program</w:t>
        </w:r>
      </w:hyperlink>
      <w:r w:rsidR="00774AB0">
        <w:t xml:space="preserve"> </w:t>
      </w:r>
      <w:r>
        <w:t>website</w:t>
      </w:r>
      <w:r w:rsidR="000B7F26">
        <w:t xml:space="preserve">. </w:t>
      </w:r>
    </w:p>
    <w:p w14:paraId="26E3838C" w14:textId="77777777" w:rsidR="00E853FD" w:rsidRDefault="00774AB0" w:rsidP="00852905">
      <w:pPr>
        <w:pStyle w:val="Heading2"/>
      </w:pPr>
      <w:r>
        <w:t xml:space="preserve">RES </w:t>
      </w:r>
      <w:r w:rsidR="00E853FD">
        <w:t xml:space="preserve">Tier 1 </w:t>
      </w:r>
      <w:r>
        <w:t xml:space="preserve">Generator </w:t>
      </w:r>
      <w:r w:rsidR="00E853FD">
        <w:t xml:space="preserve">Certification </w:t>
      </w:r>
    </w:p>
    <w:p w14:paraId="6BB4AB4F" w14:textId="67ED0640" w:rsidR="009842FF" w:rsidRDefault="00CA03DD" w:rsidP="00CA03DD">
      <w:r>
        <w:t xml:space="preserve">To </w:t>
      </w:r>
      <w:r w:rsidR="00490E99">
        <w:t>be used</w:t>
      </w:r>
      <w:r>
        <w:t xml:space="preserve"> for compliance </w:t>
      </w:r>
      <w:r w:rsidR="00490E99">
        <w:t>with the RES</w:t>
      </w:r>
      <w:r>
        <w:t xml:space="preserve">, a REC must be generated </w:t>
      </w:r>
      <w:r w:rsidR="00774AB0">
        <w:t xml:space="preserve">by </w:t>
      </w:r>
      <w:r>
        <w:t>a Tier 1-Certified resource. Tier 1-eligible</w:t>
      </w:r>
      <w:r w:rsidR="00C77D4F">
        <w:t xml:space="preserve"> </w:t>
      </w:r>
      <w:r w:rsidR="00774AB0">
        <w:t xml:space="preserve">generating </w:t>
      </w:r>
      <w:r>
        <w:t>resources are new renewable energy facilities that entered commercial operation on or after January 1, 2015</w:t>
      </w:r>
      <w:r w:rsidR="000B7F26">
        <w:t xml:space="preserve">. </w:t>
      </w:r>
      <w:r w:rsidR="00815C9B">
        <w:t xml:space="preserve">The eligibility of distributed energy resources (DER) is limited and outlined in </w:t>
      </w:r>
      <w:r w:rsidR="00D900DA">
        <w:t>the PSC’s March 9, 2017</w:t>
      </w:r>
      <w:hyperlink r:id="rId19" w:history="1">
        <w:r w:rsidR="00D900DA" w:rsidRPr="00D900DA">
          <w:rPr>
            <w:rStyle w:val="Hyperlink"/>
          </w:rPr>
          <w:t xml:space="preserve"> Value of Distributed Energy Resources (VDER) Order</w:t>
        </w:r>
      </w:hyperlink>
      <w:r w:rsidR="00D900DA">
        <w:t xml:space="preserve">. </w:t>
      </w:r>
      <w:r w:rsidR="005B7B95">
        <w:t>RECs for projects that enroll in VDER Phase 1 Value Stack compensation and community distributed generation projects receiving VDER Phase One NEM Compensation are granted to the interconnecting LSE by default and are not tradable (see the VDER Order for complete details)</w:t>
      </w:r>
      <w:r w:rsidR="000B7F26">
        <w:t xml:space="preserve">. </w:t>
      </w:r>
      <w:r w:rsidR="000106BA">
        <w:t xml:space="preserve">Eligible </w:t>
      </w:r>
      <w:r w:rsidR="00774AB0">
        <w:t xml:space="preserve">generating </w:t>
      </w:r>
      <w:r w:rsidR="000106BA">
        <w:t>r</w:t>
      </w:r>
      <w:r>
        <w:t xml:space="preserve">esources must obtain Certification from NYSERDA through an application process in NYGATS. </w:t>
      </w:r>
      <w:r w:rsidR="25EECDD9">
        <w:t>For more information on the Certification process, visit</w:t>
      </w:r>
      <w:r w:rsidR="001E37AA">
        <w:t xml:space="preserve"> the </w:t>
      </w:r>
      <w:hyperlink r:id="rId20" w:history="1">
        <w:r w:rsidR="001E37AA" w:rsidRPr="001E37AA">
          <w:rPr>
            <w:rStyle w:val="Hyperlink"/>
          </w:rPr>
          <w:t>RES Tier 1 Eligibility</w:t>
        </w:r>
      </w:hyperlink>
      <w:r w:rsidR="001E37AA">
        <w:t xml:space="preserve"> page on the CES website</w:t>
      </w:r>
      <w:r w:rsidR="25EECDD9">
        <w:t xml:space="preserve"> and review the </w:t>
      </w:r>
      <w:hyperlink r:id="rId21">
        <w:r w:rsidR="25EECDD9" w:rsidRPr="25EECDD9">
          <w:rPr>
            <w:rStyle w:val="Hyperlink"/>
          </w:rPr>
          <w:t>Eligibility and Certification Guidelines</w:t>
        </w:r>
      </w:hyperlink>
      <w:r w:rsidR="000B7F26">
        <w:t xml:space="preserve">. </w:t>
      </w:r>
    </w:p>
    <w:p w14:paraId="2FB9B4A8" w14:textId="0060AF0B" w:rsidR="009842FF" w:rsidRDefault="009842FF" w:rsidP="009842FF">
      <w:r>
        <w:lastRenderedPageBreak/>
        <w:t>NYGATS certificates are created monthly</w:t>
      </w:r>
      <w:r w:rsidR="000B7F26">
        <w:t xml:space="preserve">. </w:t>
      </w:r>
      <w:r w:rsidR="004E6DDF">
        <w:t>A facility’s</w:t>
      </w:r>
      <w:r>
        <w:t xml:space="preserve"> RES Tier 1 designation will begin to appear on NYGATS certificat</w:t>
      </w:r>
      <w:r w:rsidR="00581DD3">
        <w:t>es for all production loaded into NYGATS</w:t>
      </w:r>
      <w:r>
        <w:t xml:space="preserve"> following the </w:t>
      </w:r>
      <w:r w:rsidR="00581DD3">
        <w:t xml:space="preserve">date of the </w:t>
      </w:r>
      <w:r>
        <w:t>facility’s notice of eligibility</w:t>
      </w:r>
      <w:r w:rsidR="000B7F26">
        <w:t xml:space="preserve">. </w:t>
      </w:r>
      <w:r w:rsidR="00581DD3">
        <w:t xml:space="preserve">Thereafter, </w:t>
      </w:r>
      <w:r>
        <w:t xml:space="preserve">Tier 1 RECs </w:t>
      </w:r>
      <w:r w:rsidR="00581DD3">
        <w:t xml:space="preserve">will be created </w:t>
      </w:r>
      <w:proofErr w:type="gramStart"/>
      <w:r w:rsidR="00581DD3">
        <w:t>on a monthly basis</w:t>
      </w:r>
      <w:proofErr w:type="gramEnd"/>
      <w:r w:rsidR="00E7468C">
        <w:t xml:space="preserve">. </w:t>
      </w:r>
      <w:r>
        <w:t xml:space="preserve">Please refer to the NYGATS Operating Rules for </w:t>
      </w:r>
      <w:r w:rsidR="00581DD3">
        <w:t>additional i</w:t>
      </w:r>
      <w:r>
        <w:t>nformation regarding the timing of certificate creation.</w:t>
      </w:r>
    </w:p>
    <w:p w14:paraId="013A46B0" w14:textId="3E054855" w:rsidR="00CA03DD" w:rsidRDefault="25EECDD9" w:rsidP="00CA03DD">
      <w:pPr>
        <w:rPr>
          <w:b/>
        </w:rPr>
      </w:pPr>
      <w:r w:rsidRPr="25EECDD9">
        <w:rPr>
          <w:b/>
          <w:bCs/>
        </w:rPr>
        <w:t xml:space="preserve">RECs that are not </w:t>
      </w:r>
      <w:r w:rsidR="00FE16B3">
        <w:rPr>
          <w:b/>
          <w:bCs/>
        </w:rPr>
        <w:t>tagged</w:t>
      </w:r>
      <w:r w:rsidR="00FE16B3" w:rsidRPr="25EECDD9">
        <w:rPr>
          <w:b/>
          <w:bCs/>
        </w:rPr>
        <w:t xml:space="preserve"> </w:t>
      </w:r>
      <w:r w:rsidRPr="25EECDD9">
        <w:rPr>
          <w:b/>
          <w:bCs/>
        </w:rPr>
        <w:t>as Tier 1</w:t>
      </w:r>
      <w:r w:rsidR="00C77D4F">
        <w:rPr>
          <w:b/>
          <w:bCs/>
        </w:rPr>
        <w:t>-</w:t>
      </w:r>
      <w:r w:rsidRPr="25EECDD9">
        <w:rPr>
          <w:b/>
          <w:bCs/>
        </w:rPr>
        <w:t xml:space="preserve">eligible in NYGATS </w:t>
      </w:r>
      <w:r w:rsidR="003C4F8C">
        <w:rPr>
          <w:b/>
          <w:bCs/>
        </w:rPr>
        <w:t>cannot be applied</w:t>
      </w:r>
      <w:r w:rsidRPr="25EECDD9">
        <w:rPr>
          <w:b/>
          <w:bCs/>
        </w:rPr>
        <w:t xml:space="preserve"> towards an LSE</w:t>
      </w:r>
      <w:r w:rsidR="003C4F8C">
        <w:rPr>
          <w:b/>
          <w:bCs/>
        </w:rPr>
        <w:t>’</w:t>
      </w:r>
      <w:r w:rsidRPr="25EECDD9">
        <w:rPr>
          <w:b/>
          <w:bCs/>
        </w:rPr>
        <w:t>s RES obligation.</w:t>
      </w:r>
    </w:p>
    <w:p w14:paraId="4BBB756E" w14:textId="77777777" w:rsidR="00490E99" w:rsidRDefault="00E45479" w:rsidP="00852905">
      <w:pPr>
        <w:pStyle w:val="Heading1"/>
      </w:pPr>
      <w:r>
        <w:t>ZEC Obligations</w:t>
      </w:r>
    </w:p>
    <w:p w14:paraId="7194E4BC" w14:textId="3D94D38E" w:rsidR="00E45479" w:rsidRDefault="00E45479" w:rsidP="00CA03DD">
      <w:r>
        <w:t>All LSEs in New York must purchase the required number of ZECs</w:t>
      </w:r>
      <w:r w:rsidR="00581DD3">
        <w:t>,</w:t>
      </w:r>
      <w:r>
        <w:t xml:space="preserve"> from NYSERDA</w:t>
      </w:r>
      <w:r w:rsidR="00581DD3">
        <w:t>, for each compliance year</w:t>
      </w:r>
      <w:r>
        <w:t xml:space="preserve">. </w:t>
      </w:r>
      <w:r w:rsidR="00F5482B">
        <w:t xml:space="preserve">Per the </w:t>
      </w:r>
      <w:r w:rsidR="0027472E">
        <w:t>CES Order, t</w:t>
      </w:r>
      <w:r>
        <w:t xml:space="preserve">he number of ZECs an LSE must obtain is based on its </w:t>
      </w:r>
      <w:r w:rsidR="00E7468C">
        <w:t xml:space="preserve">actual </w:t>
      </w:r>
      <w:r>
        <w:t xml:space="preserve">proportional share of New York State load served applied to the total number of ZECs purchased by NYSERDA during the compliance period. ZECs are not tradeable </w:t>
      </w:r>
      <w:r w:rsidR="00581DD3">
        <w:t>among</w:t>
      </w:r>
      <w:r>
        <w:t xml:space="preserve"> LSEs or other market participants. LSEs may not bank ZECs and there is no option to comply with the ZEC requirement</w:t>
      </w:r>
      <w:r w:rsidR="00E03E1C">
        <w:t xml:space="preserve"> through ACP</w:t>
      </w:r>
      <w:r w:rsidR="009518F2">
        <w:t>s</w:t>
      </w:r>
      <w:r>
        <w:t>.</w:t>
      </w:r>
      <w:r w:rsidR="002C09EA">
        <w:t xml:space="preserve"> </w:t>
      </w:r>
    </w:p>
    <w:p w14:paraId="1184C655" w14:textId="4B54CE3C" w:rsidR="009100EC" w:rsidRDefault="0063272B" w:rsidP="00CA03DD">
      <w:r>
        <w:t xml:space="preserve">NYSERDA will determine the number of ZECs each LSE is obligated to obtain after the all the NYISO load data is available for the full ZEC compliance year.  </w:t>
      </w:r>
    </w:p>
    <w:p w14:paraId="7817F016" w14:textId="2090B95F" w:rsidR="00F96C44" w:rsidRDefault="008E67A3" w:rsidP="00F96C44">
      <w:pPr>
        <w:pStyle w:val="Heading1"/>
      </w:pPr>
      <w:r>
        <w:t xml:space="preserve">NYGATS Compliance </w:t>
      </w:r>
      <w:r w:rsidR="00C052D5">
        <w:t>Information</w:t>
      </w:r>
    </w:p>
    <w:p w14:paraId="49627C7E" w14:textId="6B242D9A" w:rsidR="00F96C44" w:rsidRDefault="00F96C44" w:rsidP="00F96C44">
      <w:r>
        <w:t xml:space="preserve">LSEs’ NYGATS Accounts will include </w:t>
      </w:r>
      <w:r w:rsidR="00C052D5">
        <w:t>information on compliance obligations and status</w:t>
      </w:r>
      <w:r>
        <w:t xml:space="preserve"> for both the RES and ZEC obligations. These compliance summaries, located on the main page of the LSE’s account, provide information on the </w:t>
      </w:r>
      <w:r w:rsidR="001C5FA7">
        <w:t>LSE’s status</w:t>
      </w:r>
      <w:r>
        <w:t xml:space="preserve"> towards meeting its obligations, current as of the most recent load data </w:t>
      </w:r>
      <w:r w:rsidR="001C5FA7">
        <w:t xml:space="preserve">transferred into NYGATS by </w:t>
      </w:r>
      <w:r w:rsidR="008F1EEE">
        <w:t>the New York Independent System Operator (</w:t>
      </w:r>
      <w:r w:rsidR="001C5FA7">
        <w:t>NYISO)</w:t>
      </w:r>
      <w:r>
        <w:t>. There is a 5-month lag between when the load occurs and when it is uploaded to NYGATS.</w:t>
      </w:r>
    </w:p>
    <w:p w14:paraId="624EDB64" w14:textId="37E8F205" w:rsidR="00D2680C" w:rsidRDefault="00D2680C" w:rsidP="00D2680C">
      <w:pPr>
        <w:pStyle w:val="Heading2"/>
      </w:pPr>
      <w:r>
        <w:t xml:space="preserve">LSE </w:t>
      </w:r>
      <w:r w:rsidR="00505F21">
        <w:t>Preliminary RES</w:t>
      </w:r>
      <w:r>
        <w:t xml:space="preserve"> Compliance </w:t>
      </w:r>
      <w:r w:rsidR="00505F21">
        <w:t>Report</w:t>
      </w:r>
    </w:p>
    <w:p w14:paraId="123199D7" w14:textId="55451D63" w:rsidR="00356531" w:rsidRDefault="00F96C44" w:rsidP="00F96C44">
      <w:r>
        <w:t xml:space="preserve">The </w:t>
      </w:r>
      <w:r w:rsidR="007675D1">
        <w:t>LSE Preliminary</w:t>
      </w:r>
      <w:r>
        <w:t xml:space="preserve"> </w:t>
      </w:r>
      <w:r w:rsidR="003B1573">
        <w:t xml:space="preserve">RES </w:t>
      </w:r>
      <w:r>
        <w:t xml:space="preserve">Compliance </w:t>
      </w:r>
      <w:r w:rsidR="003B1573">
        <w:t xml:space="preserve">Report </w:t>
      </w:r>
      <w:r w:rsidR="008345A4">
        <w:t xml:space="preserve">provides a snapshot of relevant compliance data over the current RES compliance period, which </w:t>
      </w:r>
      <w:r w:rsidR="00E7468C">
        <w:t xml:space="preserve">is </w:t>
      </w:r>
      <w:r w:rsidR="008345A4">
        <w:t xml:space="preserve">on a calendar year basis, and the most recent </w:t>
      </w:r>
      <w:r w:rsidR="001C5FA7">
        <w:t xml:space="preserve">previous </w:t>
      </w:r>
      <w:r w:rsidR="008345A4">
        <w:t>compliance period.</w:t>
      </w:r>
      <w:r w:rsidR="003B1573">
        <w:t xml:space="preserve">  </w:t>
      </w:r>
      <w:r w:rsidR="003F657F" w:rsidRPr="003F657F">
        <w:t>The preliminary report is available throughout the y</w:t>
      </w:r>
      <w:r w:rsidR="003F657F">
        <w:t>ear and is updated continuously. When final load data is available for the most recent compliance period, LSEs will be able to review the Preliminary Report to understand their compliance status and what actions are needed to comply with RES obligations</w:t>
      </w:r>
      <w:r w:rsidR="00356531">
        <w:t>.</w:t>
      </w:r>
    </w:p>
    <w:p w14:paraId="06438192" w14:textId="7953780E" w:rsidR="00F96C44" w:rsidRDefault="00B77AA4" w:rsidP="00F96C44">
      <w:r>
        <w:t xml:space="preserve">A sample </w:t>
      </w:r>
      <w:r w:rsidR="008345A4">
        <w:t>compliance summary</w:t>
      </w:r>
      <w:r>
        <w:t xml:space="preserve"> is</w:t>
      </w:r>
      <w:r w:rsidR="00B82C95">
        <w:t xml:space="preserve"> </w:t>
      </w:r>
      <w:r w:rsidR="00E7468C">
        <w:t>depicted</w:t>
      </w:r>
      <w:r w:rsidR="00B82C95">
        <w:t xml:space="preserve"> below</w:t>
      </w:r>
      <w:r w:rsidR="00E7468C">
        <w:t>.</w:t>
      </w:r>
      <w:r>
        <w:t xml:space="preserve">  </w:t>
      </w:r>
    </w:p>
    <w:p w14:paraId="16C37F33" w14:textId="77777777" w:rsidR="00B82C95" w:rsidRDefault="00B82C95" w:rsidP="008F1EEE">
      <w:r>
        <w:rPr>
          <w:noProof/>
        </w:rPr>
        <w:drawing>
          <wp:inline distT="0" distB="0" distL="0" distR="0" wp14:anchorId="0514CD01" wp14:editId="435F0338">
            <wp:extent cx="5943600" cy="651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651510"/>
                    </a:xfrm>
                    <a:prstGeom prst="rect">
                      <a:avLst/>
                    </a:prstGeom>
                  </pic:spPr>
                </pic:pic>
              </a:graphicData>
            </a:graphic>
          </wp:inline>
        </w:drawing>
      </w:r>
    </w:p>
    <w:p w14:paraId="64F38A49" w14:textId="4CAB49AA" w:rsidR="00236A36" w:rsidRDefault="00236A36" w:rsidP="0041424C">
      <w:pPr>
        <w:pStyle w:val="Heading2"/>
        <w:rPr>
          <w:rFonts w:asciiTheme="minorHAnsi" w:eastAsiaTheme="minorHAnsi" w:hAnsiTheme="minorHAnsi" w:cstheme="minorBidi"/>
          <w:color w:val="auto"/>
          <w:sz w:val="22"/>
          <w:szCs w:val="22"/>
        </w:rPr>
      </w:pPr>
      <w:r w:rsidRPr="00236A36">
        <w:rPr>
          <w:rFonts w:asciiTheme="minorHAnsi" w:eastAsiaTheme="minorHAnsi" w:hAnsiTheme="minorHAnsi" w:cstheme="minorBidi"/>
          <w:color w:val="auto"/>
          <w:sz w:val="22"/>
          <w:szCs w:val="22"/>
        </w:rPr>
        <w:t xml:space="preserve">The </w:t>
      </w:r>
      <w:r>
        <w:rPr>
          <w:rFonts w:asciiTheme="minorHAnsi" w:eastAsiaTheme="minorHAnsi" w:hAnsiTheme="minorHAnsi" w:cstheme="minorBidi"/>
          <w:color w:val="auto"/>
          <w:sz w:val="22"/>
          <w:szCs w:val="22"/>
        </w:rPr>
        <w:t xml:space="preserve">following table provides definitions for the data elements in the </w:t>
      </w:r>
      <w:r w:rsidRPr="00236A36">
        <w:rPr>
          <w:rFonts w:asciiTheme="minorHAnsi" w:eastAsiaTheme="minorHAnsi" w:hAnsiTheme="minorHAnsi" w:cstheme="minorBidi"/>
          <w:color w:val="auto"/>
          <w:sz w:val="22"/>
          <w:szCs w:val="22"/>
        </w:rPr>
        <w:t>LS</w:t>
      </w:r>
      <w:r>
        <w:rPr>
          <w:rFonts w:asciiTheme="minorHAnsi" w:eastAsiaTheme="minorHAnsi" w:hAnsiTheme="minorHAnsi" w:cstheme="minorBidi"/>
          <w:color w:val="auto"/>
          <w:sz w:val="22"/>
          <w:szCs w:val="22"/>
        </w:rPr>
        <w:t xml:space="preserve">E </w:t>
      </w:r>
      <w:r w:rsidR="00356531" w:rsidRPr="00356531">
        <w:rPr>
          <w:rFonts w:asciiTheme="minorHAnsi" w:eastAsiaTheme="minorHAnsi" w:hAnsiTheme="minorHAnsi" w:cstheme="minorBidi"/>
          <w:color w:val="auto"/>
          <w:sz w:val="22"/>
          <w:szCs w:val="22"/>
        </w:rPr>
        <w:t>Preliminary RES Compliance Report</w:t>
      </w:r>
      <w:r>
        <w:rPr>
          <w:rFonts w:asciiTheme="minorHAnsi" w:eastAsiaTheme="minorHAnsi" w:hAnsiTheme="minorHAnsi" w:cstheme="minorBidi"/>
          <w:color w:val="auto"/>
          <w:sz w:val="22"/>
          <w:szCs w:val="22"/>
        </w:rPr>
        <w:t xml:space="preserve"> section in NYGATS.</w:t>
      </w:r>
    </w:p>
    <w:p w14:paraId="6235D320" w14:textId="45F160B2" w:rsidR="007675D1" w:rsidRDefault="007675D1" w:rsidP="007675D1"/>
    <w:p w14:paraId="58175FFC" w14:textId="77777777" w:rsidR="007675D1" w:rsidRPr="007675D1" w:rsidRDefault="007675D1" w:rsidP="007675D1"/>
    <w:p w14:paraId="6E0D0CA6" w14:textId="66830D8A" w:rsidR="0041424C" w:rsidRPr="00420710" w:rsidRDefault="0041424C" w:rsidP="0041424C">
      <w:pPr>
        <w:pStyle w:val="Heading2"/>
        <w:rPr>
          <w:b/>
        </w:rPr>
      </w:pPr>
      <w:r w:rsidRPr="00420710">
        <w:rPr>
          <w:b/>
        </w:rPr>
        <w:lastRenderedPageBreak/>
        <w:t xml:space="preserve">LSE </w:t>
      </w:r>
      <w:r w:rsidR="00356531" w:rsidRPr="00356531">
        <w:rPr>
          <w:b/>
        </w:rPr>
        <w:t>Preliminary RES Compliance Report</w:t>
      </w:r>
      <w:r w:rsidRPr="00420710">
        <w:rPr>
          <w:b/>
        </w:rPr>
        <w:t xml:space="preserve"> </w:t>
      </w:r>
      <w:r w:rsidR="007675D1">
        <w:rPr>
          <w:b/>
        </w:rPr>
        <w:t>Definitions</w:t>
      </w:r>
    </w:p>
    <w:tbl>
      <w:tblPr>
        <w:tblW w:w="9895" w:type="dxa"/>
        <w:tblLook w:val="04A0" w:firstRow="1" w:lastRow="0" w:firstColumn="1" w:lastColumn="0" w:noHBand="0" w:noVBand="1"/>
      </w:tblPr>
      <w:tblGrid>
        <w:gridCol w:w="3415"/>
        <w:gridCol w:w="6480"/>
      </w:tblGrid>
      <w:tr w:rsidR="0041424C" w:rsidRPr="00420710" w14:paraId="4267A0A9"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05AB3F5C" w14:textId="77777777" w:rsidR="0041424C" w:rsidRPr="00420710" w:rsidRDefault="0041424C" w:rsidP="00AF7ED4">
            <w:pPr>
              <w:spacing w:after="0" w:line="240" w:lineRule="auto"/>
              <w:rPr>
                <w:rFonts w:ascii="Calibri" w:eastAsia="Times New Roman" w:hAnsi="Calibri" w:cs="Calibri"/>
                <w:b/>
                <w:bCs/>
                <w:color w:val="FFFFFF"/>
              </w:rPr>
            </w:pPr>
            <w:r w:rsidRPr="00420710">
              <w:rPr>
                <w:rFonts w:ascii="Calibri" w:eastAsia="Times New Roman" w:hAnsi="Calibri" w:cs="Calibri"/>
                <w:b/>
                <w:bCs/>
                <w:color w:val="FFFFFF"/>
              </w:rPr>
              <w:t>Column Name</w:t>
            </w:r>
          </w:p>
        </w:tc>
        <w:tc>
          <w:tcPr>
            <w:tcW w:w="6480"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15AA5410" w14:textId="77777777" w:rsidR="0041424C" w:rsidRPr="00420710" w:rsidRDefault="0041424C" w:rsidP="00AF7ED4">
            <w:pPr>
              <w:spacing w:after="0" w:line="240" w:lineRule="auto"/>
              <w:rPr>
                <w:rFonts w:ascii="Calibri" w:eastAsia="Times New Roman" w:hAnsi="Calibri" w:cs="Calibri"/>
                <w:b/>
                <w:bCs/>
                <w:color w:val="FFFFFF"/>
              </w:rPr>
            </w:pPr>
            <w:r w:rsidRPr="00420710">
              <w:rPr>
                <w:rFonts w:ascii="Calibri" w:eastAsia="Times New Roman" w:hAnsi="Calibri" w:cs="Calibri"/>
                <w:b/>
                <w:bCs/>
                <w:color w:val="FFFFFF"/>
              </w:rPr>
              <w:t>Description</w:t>
            </w:r>
          </w:p>
        </w:tc>
      </w:tr>
      <w:tr w:rsidR="0041424C" w:rsidRPr="00420710" w14:paraId="457D372C" w14:textId="77777777" w:rsidTr="00AF7ED4">
        <w:trPr>
          <w:trHeight w:val="900"/>
        </w:trPr>
        <w:tc>
          <w:tcPr>
            <w:tcW w:w="3415" w:type="dxa"/>
            <w:tcBorders>
              <w:top w:val="single" w:sz="4" w:space="0" w:color="auto"/>
              <w:left w:val="single" w:sz="4" w:space="0" w:color="auto"/>
              <w:bottom w:val="single" w:sz="4" w:space="0" w:color="auto"/>
              <w:right w:val="single" w:sz="4" w:space="0" w:color="auto"/>
            </w:tcBorders>
            <w:shd w:val="clear" w:color="auto" w:fill="auto"/>
            <w:hideMark/>
          </w:tcPr>
          <w:p w14:paraId="1C8B4BBD"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Compliance Year</w:t>
            </w:r>
            <w:r>
              <w:rPr>
                <w:rFonts w:ascii="Calibri" w:eastAsia="Times New Roman" w:hAnsi="Calibri" w:cs="Calibri"/>
                <w:color w:val="000000"/>
              </w:rPr>
              <w:t xml:space="preserve"> (January – December)</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26E54B0F" w14:textId="7E41732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This identifies the Renewable Energy Standard Compliance Year and the timeframe of the Compliance Year</w:t>
            </w:r>
            <w:r w:rsidR="000B7F26">
              <w:rPr>
                <w:rFonts w:ascii="Calibri" w:eastAsia="Times New Roman" w:hAnsi="Calibri" w:cs="Calibri"/>
                <w:color w:val="000000"/>
              </w:rPr>
              <w:t xml:space="preserve">. </w:t>
            </w:r>
            <w:r>
              <w:rPr>
                <w:rFonts w:ascii="Calibri" w:eastAsia="Times New Roman" w:hAnsi="Calibri" w:cs="Calibri"/>
                <w:color w:val="000000"/>
              </w:rPr>
              <w:t>The table will display information for five (5) Compliance Years</w:t>
            </w:r>
            <w:r w:rsidR="000B7F26">
              <w:rPr>
                <w:rFonts w:ascii="Calibri" w:eastAsia="Times New Roman" w:hAnsi="Calibri" w:cs="Calibri"/>
                <w:color w:val="000000"/>
              </w:rPr>
              <w:t xml:space="preserve">. </w:t>
            </w:r>
            <w:r>
              <w:rPr>
                <w:rFonts w:ascii="Calibri" w:eastAsia="Times New Roman" w:hAnsi="Calibri" w:cs="Calibri"/>
                <w:color w:val="000000"/>
              </w:rPr>
              <w:t>The first year is 2017</w:t>
            </w:r>
            <w:r w:rsidR="000B7F26">
              <w:rPr>
                <w:rFonts w:ascii="Calibri" w:eastAsia="Times New Roman" w:hAnsi="Calibri" w:cs="Calibri"/>
                <w:color w:val="000000"/>
              </w:rPr>
              <w:t xml:space="preserve">. </w:t>
            </w:r>
          </w:p>
        </w:tc>
      </w:tr>
      <w:tr w:rsidR="0041424C" w:rsidRPr="00420710" w14:paraId="29D54B80" w14:textId="77777777" w:rsidTr="00AF7ED4">
        <w:trPr>
          <w:trHeight w:val="900"/>
        </w:trPr>
        <w:tc>
          <w:tcPr>
            <w:tcW w:w="3415" w:type="dxa"/>
            <w:tcBorders>
              <w:top w:val="single" w:sz="4" w:space="0" w:color="auto"/>
              <w:left w:val="single" w:sz="4" w:space="0" w:color="auto"/>
              <w:bottom w:val="single" w:sz="4" w:space="0" w:color="auto"/>
              <w:right w:val="single" w:sz="4" w:space="0" w:color="auto"/>
            </w:tcBorders>
            <w:shd w:val="clear" w:color="auto" w:fill="auto"/>
            <w:hideMark/>
          </w:tcPr>
          <w:p w14:paraId="6FBA59B7"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 xml:space="preserve">LSE </w:t>
            </w:r>
            <w:r>
              <w:rPr>
                <w:rFonts w:ascii="Calibri" w:eastAsia="Times New Roman" w:hAnsi="Calibri" w:cs="Calibri"/>
                <w:color w:val="000000"/>
              </w:rPr>
              <w:t xml:space="preserve">Total </w:t>
            </w:r>
            <w:r w:rsidRPr="00420710">
              <w:rPr>
                <w:rFonts w:ascii="Calibri" w:eastAsia="Times New Roman" w:hAnsi="Calibri" w:cs="Calibri"/>
                <w:color w:val="000000"/>
              </w:rPr>
              <w:t>Load through [Month</w:t>
            </w:r>
            <w:r>
              <w:rPr>
                <w:rFonts w:ascii="Calibri" w:eastAsia="Times New Roman" w:hAnsi="Calibri" w:cs="Calibri"/>
                <w:color w:val="000000"/>
              </w:rPr>
              <w:t xml:space="preserve"> Year</w:t>
            </w:r>
            <w:r w:rsidRPr="00420710">
              <w:rPr>
                <w:rFonts w:ascii="Calibri" w:eastAsia="Times New Roman" w:hAnsi="Calibri" w:cs="Calibri"/>
                <w:color w:val="000000"/>
              </w:rPr>
              <w:t>] (MWh)</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5B10AD4D" w14:textId="3A682B7B"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 xml:space="preserve">LSE </w:t>
            </w:r>
            <w:r>
              <w:rPr>
                <w:rFonts w:ascii="Calibri" w:eastAsia="Times New Roman" w:hAnsi="Calibri" w:cs="Calibri"/>
                <w:color w:val="000000"/>
              </w:rPr>
              <w:t>total electrical l</w:t>
            </w:r>
            <w:r w:rsidRPr="00420710">
              <w:rPr>
                <w:rFonts w:ascii="Calibri" w:eastAsia="Times New Roman" w:hAnsi="Calibri" w:cs="Calibri"/>
                <w:color w:val="000000"/>
              </w:rPr>
              <w:t xml:space="preserve">oad for the </w:t>
            </w:r>
            <w:r>
              <w:rPr>
                <w:rFonts w:ascii="Calibri" w:eastAsia="Times New Roman" w:hAnsi="Calibri" w:cs="Calibri"/>
                <w:color w:val="000000"/>
              </w:rPr>
              <w:t>Compliance Y</w:t>
            </w:r>
            <w:r w:rsidRPr="00420710">
              <w:rPr>
                <w:rFonts w:ascii="Calibri" w:eastAsia="Times New Roman" w:hAnsi="Calibri" w:cs="Calibri"/>
                <w:color w:val="000000"/>
              </w:rPr>
              <w:t>ear</w:t>
            </w:r>
            <w:r>
              <w:rPr>
                <w:rFonts w:ascii="Calibri" w:eastAsia="Times New Roman" w:hAnsi="Calibri" w:cs="Calibri"/>
                <w:color w:val="000000"/>
              </w:rPr>
              <w:t xml:space="preserve"> beginning with the first month of the Compliance Year</w:t>
            </w:r>
            <w:r w:rsidRPr="00420710">
              <w:rPr>
                <w:rFonts w:ascii="Calibri" w:eastAsia="Times New Roman" w:hAnsi="Calibri" w:cs="Calibri"/>
                <w:color w:val="000000"/>
              </w:rPr>
              <w:t xml:space="preserve"> </w:t>
            </w:r>
            <w:r>
              <w:rPr>
                <w:rFonts w:ascii="Calibri" w:eastAsia="Times New Roman" w:hAnsi="Calibri" w:cs="Calibri"/>
                <w:color w:val="000000"/>
              </w:rPr>
              <w:t>through the month indicated i.e. May 2017</w:t>
            </w:r>
            <w:r w:rsidR="000B7F26">
              <w:rPr>
                <w:rFonts w:ascii="Calibri" w:eastAsia="Times New Roman" w:hAnsi="Calibri" w:cs="Calibri"/>
                <w:color w:val="000000"/>
              </w:rPr>
              <w:t xml:space="preserve">. </w:t>
            </w:r>
            <w:r>
              <w:rPr>
                <w:rFonts w:ascii="Calibri" w:eastAsia="Times New Roman" w:hAnsi="Calibri" w:cs="Calibri"/>
                <w:color w:val="000000"/>
              </w:rPr>
              <w:t>This load will be the most recent NYISO V2 data received by NYGATS.</w:t>
            </w:r>
          </w:p>
        </w:tc>
      </w:tr>
      <w:tr w:rsidR="0041424C" w:rsidRPr="00420710" w14:paraId="24B7537B"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hideMark/>
          </w:tcPr>
          <w:p w14:paraId="76BE2FE2"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 xml:space="preserve">Compliance Year Tier 1 </w:t>
            </w:r>
            <w:r>
              <w:rPr>
                <w:rFonts w:ascii="Calibri" w:eastAsia="Times New Roman" w:hAnsi="Calibri" w:cs="Calibri"/>
                <w:color w:val="000000"/>
              </w:rPr>
              <w:t xml:space="preserve">REC </w:t>
            </w:r>
            <w:r w:rsidRPr="00420710">
              <w:rPr>
                <w:rFonts w:ascii="Calibri" w:eastAsia="Times New Roman" w:hAnsi="Calibri" w:cs="Calibri"/>
                <w:color w:val="000000"/>
              </w:rPr>
              <w:t>Obligation %</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793FEEC1"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 xml:space="preserve">Percentage of LSE load required to be met with </w:t>
            </w:r>
            <w:r w:rsidRPr="00420710">
              <w:rPr>
                <w:rFonts w:ascii="Calibri" w:eastAsia="Times New Roman" w:hAnsi="Calibri" w:cs="Calibri"/>
                <w:color w:val="000000"/>
              </w:rPr>
              <w:t xml:space="preserve">Tier 1 </w:t>
            </w:r>
            <w:r>
              <w:rPr>
                <w:rFonts w:ascii="Calibri" w:eastAsia="Times New Roman" w:hAnsi="Calibri" w:cs="Calibri"/>
                <w:color w:val="000000"/>
              </w:rPr>
              <w:t xml:space="preserve">RECs </w:t>
            </w:r>
            <w:r w:rsidRPr="00420710">
              <w:rPr>
                <w:rFonts w:ascii="Calibri" w:eastAsia="Times New Roman" w:hAnsi="Calibri" w:cs="Calibri"/>
                <w:color w:val="000000"/>
              </w:rPr>
              <w:t xml:space="preserve">for the </w:t>
            </w:r>
            <w:r>
              <w:rPr>
                <w:rFonts w:ascii="Calibri" w:eastAsia="Times New Roman" w:hAnsi="Calibri" w:cs="Calibri"/>
                <w:color w:val="000000"/>
              </w:rPr>
              <w:t>Compliance Year as ordered by the New York Public Service Commission.</w:t>
            </w:r>
          </w:p>
        </w:tc>
      </w:tr>
      <w:tr w:rsidR="0041424C" w:rsidRPr="00420710" w14:paraId="0894D0EE"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hideMark/>
          </w:tcPr>
          <w:p w14:paraId="280A68C8"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 xml:space="preserve">Tier 1 </w:t>
            </w:r>
            <w:r>
              <w:rPr>
                <w:rFonts w:ascii="Calibri" w:eastAsia="Times New Roman" w:hAnsi="Calibri" w:cs="Calibri"/>
                <w:color w:val="000000"/>
              </w:rPr>
              <w:t xml:space="preserve">REC </w:t>
            </w:r>
            <w:r w:rsidRPr="00420710">
              <w:rPr>
                <w:rFonts w:ascii="Calibri" w:eastAsia="Times New Roman" w:hAnsi="Calibri" w:cs="Calibri"/>
                <w:color w:val="000000"/>
              </w:rPr>
              <w:t>Obligation</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326284FE" w14:textId="73FBA2BC"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 xml:space="preserve">Number of Tier 1 RECS that comprise the LSE’s Tier 1 REC obligation for the </w:t>
            </w:r>
            <w:r w:rsidRPr="00420710">
              <w:rPr>
                <w:rFonts w:ascii="Calibri" w:eastAsia="Times New Roman" w:hAnsi="Calibri" w:cs="Calibri"/>
                <w:color w:val="000000"/>
              </w:rPr>
              <w:t>Compliance Year</w:t>
            </w:r>
            <w:r>
              <w:rPr>
                <w:rFonts w:ascii="Calibri" w:eastAsia="Times New Roman" w:hAnsi="Calibri" w:cs="Calibri"/>
                <w:color w:val="000000"/>
              </w:rPr>
              <w:t xml:space="preserve"> based on the most recent data in NYGATS</w:t>
            </w:r>
            <w:r w:rsidR="000B7F26">
              <w:rPr>
                <w:rFonts w:ascii="Calibri" w:eastAsia="Times New Roman" w:hAnsi="Calibri" w:cs="Calibri"/>
                <w:color w:val="000000"/>
              </w:rPr>
              <w:t xml:space="preserve">. </w:t>
            </w:r>
            <w:r>
              <w:rPr>
                <w:rFonts w:ascii="Calibri" w:eastAsia="Times New Roman" w:hAnsi="Calibri" w:cs="Calibri"/>
                <w:color w:val="000000"/>
              </w:rPr>
              <w:t>The Tier 1 REC Obligation is the LSE Total Load for the Compliance Year multiplied by the</w:t>
            </w:r>
            <w:r w:rsidRPr="00420710">
              <w:rPr>
                <w:rFonts w:ascii="Calibri" w:eastAsia="Times New Roman" w:hAnsi="Calibri" w:cs="Calibri"/>
                <w:color w:val="000000"/>
              </w:rPr>
              <w:t xml:space="preserve"> Tier 1 </w:t>
            </w:r>
            <w:r>
              <w:rPr>
                <w:rFonts w:ascii="Calibri" w:eastAsia="Times New Roman" w:hAnsi="Calibri" w:cs="Calibri"/>
                <w:color w:val="000000"/>
              </w:rPr>
              <w:t xml:space="preserve">REC </w:t>
            </w:r>
            <w:r w:rsidRPr="00420710">
              <w:rPr>
                <w:rFonts w:ascii="Calibri" w:eastAsia="Times New Roman" w:hAnsi="Calibri" w:cs="Calibri"/>
                <w:color w:val="000000"/>
              </w:rPr>
              <w:t>Obligation %</w:t>
            </w:r>
            <w:r>
              <w:rPr>
                <w:rFonts w:ascii="Calibri" w:eastAsia="Times New Roman" w:hAnsi="Calibri" w:cs="Calibri"/>
                <w:color w:val="000000"/>
              </w:rPr>
              <w:t xml:space="preserve"> for that Compliance Year.</w:t>
            </w:r>
          </w:p>
        </w:tc>
      </w:tr>
      <w:tr w:rsidR="0041424C" w:rsidRPr="00420710" w14:paraId="780C167A" w14:textId="77777777" w:rsidTr="00AF7ED4">
        <w:trPr>
          <w:trHeight w:val="900"/>
        </w:trPr>
        <w:tc>
          <w:tcPr>
            <w:tcW w:w="3415" w:type="dxa"/>
            <w:tcBorders>
              <w:top w:val="single" w:sz="4" w:space="0" w:color="auto"/>
              <w:left w:val="single" w:sz="4" w:space="0" w:color="auto"/>
              <w:bottom w:val="single" w:sz="4" w:space="0" w:color="auto"/>
              <w:right w:val="single" w:sz="4" w:space="0" w:color="auto"/>
            </w:tcBorders>
            <w:shd w:val="clear" w:color="auto" w:fill="auto"/>
            <w:hideMark/>
          </w:tcPr>
          <w:p w14:paraId="501FE6F8"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Tier 1 RECs Banked</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72EC8DE2" w14:textId="49EBD848"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 xml:space="preserve">Number of </w:t>
            </w:r>
            <w:r w:rsidRPr="00420710">
              <w:rPr>
                <w:rFonts w:ascii="Calibri" w:eastAsia="Times New Roman" w:hAnsi="Calibri" w:cs="Calibri"/>
                <w:color w:val="000000"/>
              </w:rPr>
              <w:t>Tier 1 RECs</w:t>
            </w:r>
            <w:r>
              <w:rPr>
                <w:rFonts w:ascii="Calibri" w:eastAsia="Times New Roman" w:hAnsi="Calibri" w:cs="Calibri"/>
                <w:color w:val="000000"/>
              </w:rPr>
              <w:t xml:space="preserve"> in LSE’s Banked Sub-Accounts</w:t>
            </w:r>
            <w:r w:rsidRPr="00420710">
              <w:rPr>
                <w:rFonts w:ascii="Calibri" w:eastAsia="Times New Roman" w:hAnsi="Calibri" w:cs="Calibri"/>
                <w:color w:val="000000"/>
              </w:rPr>
              <w:t xml:space="preserve">. </w:t>
            </w:r>
            <w:r w:rsidRPr="00420710">
              <w:rPr>
                <w:rFonts w:ascii="Calibri" w:eastAsia="Times New Roman" w:hAnsi="Calibri" w:cs="Calibri"/>
                <w:color w:val="000000"/>
              </w:rPr>
              <w:br/>
              <w:t>Column will always be zero for settled years</w:t>
            </w:r>
            <w:r w:rsidR="000B7F26">
              <w:rPr>
                <w:rFonts w:ascii="Calibri" w:eastAsia="Times New Roman" w:hAnsi="Calibri" w:cs="Calibri"/>
                <w:color w:val="000000"/>
              </w:rPr>
              <w:t xml:space="preserve">. </w:t>
            </w:r>
            <w:r>
              <w:rPr>
                <w:rFonts w:ascii="Calibri" w:eastAsia="Times New Roman" w:hAnsi="Calibri" w:cs="Calibri"/>
                <w:color w:val="000000"/>
              </w:rPr>
              <w:t>A</w:t>
            </w:r>
            <w:r w:rsidRPr="00420710">
              <w:rPr>
                <w:rFonts w:ascii="Calibri" w:eastAsia="Times New Roman" w:hAnsi="Calibri" w:cs="Calibri"/>
                <w:color w:val="000000"/>
              </w:rPr>
              <w:t>ny</w:t>
            </w:r>
            <w:r>
              <w:rPr>
                <w:rFonts w:ascii="Calibri" w:eastAsia="Times New Roman" w:hAnsi="Calibri" w:cs="Calibri"/>
                <w:color w:val="000000"/>
              </w:rPr>
              <w:t xml:space="preserve"> remaining</w:t>
            </w:r>
            <w:r w:rsidRPr="00420710">
              <w:rPr>
                <w:rFonts w:ascii="Calibri" w:eastAsia="Times New Roman" w:hAnsi="Calibri" w:cs="Calibri"/>
                <w:color w:val="000000"/>
              </w:rPr>
              <w:t xml:space="preserve"> Banked Tier 1 RECs from </w:t>
            </w:r>
            <w:r>
              <w:rPr>
                <w:rFonts w:ascii="Calibri" w:eastAsia="Times New Roman" w:hAnsi="Calibri" w:cs="Calibri"/>
                <w:color w:val="000000"/>
              </w:rPr>
              <w:t>settled</w:t>
            </w:r>
            <w:r w:rsidRPr="00420710">
              <w:rPr>
                <w:rFonts w:ascii="Calibri" w:eastAsia="Times New Roman" w:hAnsi="Calibri" w:cs="Calibri"/>
                <w:color w:val="000000"/>
              </w:rPr>
              <w:t xml:space="preserve"> vintage year</w:t>
            </w:r>
            <w:r>
              <w:rPr>
                <w:rFonts w:ascii="Calibri" w:eastAsia="Times New Roman" w:hAnsi="Calibri" w:cs="Calibri"/>
                <w:color w:val="000000"/>
              </w:rPr>
              <w:t>s</w:t>
            </w:r>
            <w:r w:rsidRPr="00420710">
              <w:rPr>
                <w:rFonts w:ascii="Calibri" w:eastAsia="Times New Roman" w:hAnsi="Calibri" w:cs="Calibri"/>
                <w:color w:val="000000"/>
              </w:rPr>
              <w:t xml:space="preserve"> will </w:t>
            </w:r>
            <w:r>
              <w:rPr>
                <w:rFonts w:ascii="Calibri" w:eastAsia="Times New Roman" w:hAnsi="Calibri" w:cs="Calibri"/>
                <w:color w:val="000000"/>
              </w:rPr>
              <w:t>display in</w:t>
            </w:r>
            <w:r w:rsidRPr="00420710">
              <w:rPr>
                <w:rFonts w:ascii="Calibri" w:eastAsia="Times New Roman" w:hAnsi="Calibri" w:cs="Calibri"/>
                <w:color w:val="000000"/>
              </w:rPr>
              <w:t xml:space="preserve"> the </w:t>
            </w:r>
            <w:r>
              <w:rPr>
                <w:rFonts w:ascii="Calibri" w:eastAsia="Times New Roman" w:hAnsi="Calibri" w:cs="Calibri"/>
                <w:color w:val="000000"/>
              </w:rPr>
              <w:t>current</w:t>
            </w:r>
            <w:r w:rsidRPr="00420710">
              <w:rPr>
                <w:rFonts w:ascii="Calibri" w:eastAsia="Times New Roman" w:hAnsi="Calibri" w:cs="Calibri"/>
                <w:color w:val="000000"/>
              </w:rPr>
              <w:t xml:space="preserve"> year.</w:t>
            </w:r>
          </w:p>
        </w:tc>
      </w:tr>
      <w:tr w:rsidR="0041424C" w:rsidRPr="00420710" w14:paraId="59A40DC4" w14:textId="77777777" w:rsidTr="00AF7ED4">
        <w:trPr>
          <w:trHeight w:val="900"/>
        </w:trPr>
        <w:tc>
          <w:tcPr>
            <w:tcW w:w="3415" w:type="dxa"/>
            <w:tcBorders>
              <w:top w:val="single" w:sz="4" w:space="0" w:color="auto"/>
              <w:left w:val="single" w:sz="4" w:space="0" w:color="auto"/>
              <w:bottom w:val="single" w:sz="4" w:space="0" w:color="auto"/>
              <w:right w:val="single" w:sz="4" w:space="0" w:color="auto"/>
            </w:tcBorders>
            <w:shd w:val="clear" w:color="auto" w:fill="auto"/>
            <w:hideMark/>
          </w:tcPr>
          <w:p w14:paraId="02C73E6F"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Tier 1 RECs Active</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30B2E265"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 xml:space="preserve">Number of </w:t>
            </w:r>
            <w:r w:rsidRPr="00420710">
              <w:rPr>
                <w:rFonts w:ascii="Calibri" w:eastAsia="Times New Roman" w:hAnsi="Calibri" w:cs="Calibri"/>
                <w:color w:val="000000"/>
              </w:rPr>
              <w:t xml:space="preserve">Tier 1 RECs in </w:t>
            </w:r>
            <w:r>
              <w:rPr>
                <w:rFonts w:ascii="Calibri" w:eastAsia="Times New Roman" w:hAnsi="Calibri" w:cs="Calibri"/>
                <w:color w:val="000000"/>
              </w:rPr>
              <w:t xml:space="preserve">LSE’s </w:t>
            </w:r>
            <w:r w:rsidRPr="00420710">
              <w:rPr>
                <w:rFonts w:ascii="Calibri" w:eastAsia="Times New Roman" w:hAnsi="Calibri" w:cs="Calibri"/>
                <w:color w:val="000000"/>
              </w:rPr>
              <w:t xml:space="preserve">Active Sub-Accounts. </w:t>
            </w:r>
            <w:r w:rsidRPr="00420710">
              <w:rPr>
                <w:rFonts w:ascii="Calibri" w:eastAsia="Times New Roman" w:hAnsi="Calibri" w:cs="Calibri"/>
                <w:color w:val="000000"/>
              </w:rPr>
              <w:br/>
            </w:r>
          </w:p>
        </w:tc>
      </w:tr>
      <w:tr w:rsidR="0041424C" w:rsidRPr="00420710" w14:paraId="76A440F7" w14:textId="77777777" w:rsidTr="00AF7ED4">
        <w:trPr>
          <w:trHeight w:val="900"/>
        </w:trPr>
        <w:tc>
          <w:tcPr>
            <w:tcW w:w="3415" w:type="dxa"/>
            <w:tcBorders>
              <w:top w:val="single" w:sz="4" w:space="0" w:color="auto"/>
              <w:left w:val="single" w:sz="4" w:space="0" w:color="auto"/>
              <w:bottom w:val="single" w:sz="4" w:space="0" w:color="auto"/>
              <w:right w:val="single" w:sz="4" w:space="0" w:color="auto"/>
            </w:tcBorders>
            <w:shd w:val="clear" w:color="auto" w:fill="auto"/>
            <w:hideMark/>
          </w:tcPr>
          <w:p w14:paraId="05B0F737"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Tier 1 RECs EDP</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7108B8BE"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Number of</w:t>
            </w:r>
            <w:r w:rsidRPr="00420710">
              <w:rPr>
                <w:rFonts w:ascii="Calibri" w:eastAsia="Times New Roman" w:hAnsi="Calibri" w:cs="Calibri"/>
                <w:color w:val="000000"/>
              </w:rPr>
              <w:t xml:space="preserve"> Tier 1 RECs in </w:t>
            </w:r>
            <w:r>
              <w:rPr>
                <w:rFonts w:ascii="Calibri" w:eastAsia="Times New Roman" w:hAnsi="Calibri" w:cs="Calibri"/>
                <w:color w:val="000000"/>
              </w:rPr>
              <w:t xml:space="preserve">LSE’s </w:t>
            </w:r>
            <w:r w:rsidRPr="00420710">
              <w:rPr>
                <w:rFonts w:ascii="Calibri" w:eastAsia="Times New Roman" w:hAnsi="Calibri" w:cs="Calibri"/>
                <w:color w:val="000000"/>
              </w:rPr>
              <w:t xml:space="preserve">EDP Sub-Accounts </w:t>
            </w:r>
            <w:r>
              <w:rPr>
                <w:rFonts w:ascii="Calibri" w:eastAsia="Times New Roman" w:hAnsi="Calibri" w:cs="Calibri"/>
                <w:color w:val="000000"/>
              </w:rPr>
              <w:t>by</w:t>
            </w:r>
            <w:r w:rsidRPr="00420710">
              <w:rPr>
                <w:rFonts w:ascii="Calibri" w:eastAsia="Times New Roman" w:hAnsi="Calibri" w:cs="Calibri"/>
                <w:color w:val="000000"/>
              </w:rPr>
              <w:t xml:space="preserve"> year </w:t>
            </w:r>
            <w:r>
              <w:rPr>
                <w:rFonts w:ascii="Calibri" w:eastAsia="Times New Roman" w:hAnsi="Calibri" w:cs="Calibri"/>
                <w:color w:val="000000"/>
              </w:rPr>
              <w:t>transferred</w:t>
            </w:r>
            <w:r w:rsidRPr="00420710">
              <w:rPr>
                <w:rFonts w:ascii="Calibri" w:eastAsia="Times New Roman" w:hAnsi="Calibri" w:cs="Calibri"/>
                <w:color w:val="000000"/>
              </w:rPr>
              <w:t xml:space="preserve"> with reason of 'RES Compliance'. </w:t>
            </w:r>
            <w:r w:rsidRPr="00950D85">
              <w:rPr>
                <w:rFonts w:ascii="Calibri" w:eastAsia="Times New Roman" w:hAnsi="Calibri" w:cs="Calibri"/>
                <w:b/>
                <w:color w:val="000000"/>
              </w:rPr>
              <w:t>Tier 1 RECs retired for other reasons are not included</w:t>
            </w:r>
            <w:r>
              <w:rPr>
                <w:rFonts w:ascii="Calibri" w:eastAsia="Times New Roman" w:hAnsi="Calibri" w:cs="Calibri"/>
                <w:b/>
                <w:color w:val="000000"/>
              </w:rPr>
              <w:t>.</w:t>
            </w:r>
          </w:p>
        </w:tc>
      </w:tr>
      <w:tr w:rsidR="0041424C" w:rsidRPr="00420710" w14:paraId="23F17047"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hideMark/>
          </w:tcPr>
          <w:p w14:paraId="165D2BF5"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 xml:space="preserve">Tier 1 </w:t>
            </w:r>
            <w:r>
              <w:rPr>
                <w:rFonts w:ascii="Calibri" w:eastAsia="Times New Roman" w:hAnsi="Calibri" w:cs="Calibri"/>
                <w:color w:val="000000"/>
              </w:rPr>
              <w:t xml:space="preserve">REC </w:t>
            </w:r>
            <w:r w:rsidRPr="00420710">
              <w:rPr>
                <w:rFonts w:ascii="Calibri" w:eastAsia="Times New Roman" w:hAnsi="Calibri" w:cs="Calibri"/>
                <w:color w:val="000000"/>
              </w:rPr>
              <w:t>Balance</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F6C22F5" w14:textId="77777777" w:rsidR="0041424C"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 xml:space="preserve">The difference between </w:t>
            </w:r>
            <w:r w:rsidRPr="00420710">
              <w:rPr>
                <w:rFonts w:ascii="Calibri" w:eastAsia="Times New Roman" w:hAnsi="Calibri" w:cs="Calibri"/>
                <w:color w:val="000000"/>
              </w:rPr>
              <w:t xml:space="preserve">Tier 1 RECs EDP </w:t>
            </w:r>
            <w:r>
              <w:rPr>
                <w:rFonts w:ascii="Calibri" w:eastAsia="Times New Roman" w:hAnsi="Calibri" w:cs="Calibri"/>
                <w:color w:val="000000"/>
              </w:rPr>
              <w:t>(</w:t>
            </w:r>
            <w:r w:rsidRPr="00420710">
              <w:rPr>
                <w:rFonts w:ascii="Calibri" w:eastAsia="Times New Roman" w:hAnsi="Calibri" w:cs="Calibri"/>
                <w:color w:val="000000"/>
              </w:rPr>
              <w:t xml:space="preserve">with reason 'RES Compliance') </w:t>
            </w:r>
            <w:r>
              <w:rPr>
                <w:rFonts w:ascii="Calibri" w:eastAsia="Times New Roman" w:hAnsi="Calibri" w:cs="Calibri"/>
                <w:color w:val="000000"/>
              </w:rPr>
              <w:t xml:space="preserve">and the </w:t>
            </w:r>
            <w:r w:rsidRPr="00420710">
              <w:rPr>
                <w:rFonts w:ascii="Calibri" w:eastAsia="Times New Roman" w:hAnsi="Calibri" w:cs="Calibri"/>
                <w:color w:val="000000"/>
              </w:rPr>
              <w:t xml:space="preserve">Tier 1 </w:t>
            </w:r>
            <w:r>
              <w:rPr>
                <w:rFonts w:ascii="Calibri" w:eastAsia="Times New Roman" w:hAnsi="Calibri" w:cs="Calibri"/>
                <w:color w:val="000000"/>
              </w:rPr>
              <w:t xml:space="preserve">REC </w:t>
            </w:r>
            <w:r w:rsidRPr="00420710">
              <w:rPr>
                <w:rFonts w:ascii="Calibri" w:eastAsia="Times New Roman" w:hAnsi="Calibri" w:cs="Calibri"/>
                <w:color w:val="000000"/>
              </w:rPr>
              <w:t>Obligation</w:t>
            </w:r>
            <w:r>
              <w:rPr>
                <w:rFonts w:ascii="Calibri" w:eastAsia="Times New Roman" w:hAnsi="Calibri" w:cs="Calibri"/>
                <w:color w:val="000000"/>
              </w:rPr>
              <w:t xml:space="preserve"> for a given Compliance Year.</w:t>
            </w:r>
          </w:p>
          <w:p w14:paraId="4285D963"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 xml:space="preserve">Note:  Negative numbers are displayed in </w:t>
            </w:r>
            <w:r w:rsidRPr="0033750B">
              <w:rPr>
                <w:rFonts w:ascii="Calibri" w:eastAsia="Times New Roman" w:hAnsi="Calibri" w:cs="Calibri"/>
                <w:color w:val="000000"/>
              </w:rPr>
              <w:t>parenthesis</w:t>
            </w:r>
            <w:r>
              <w:rPr>
                <w:rFonts w:ascii="Calibri" w:eastAsia="Times New Roman" w:hAnsi="Calibri" w:cs="Calibri"/>
                <w:color w:val="000000"/>
              </w:rPr>
              <w:t>.</w:t>
            </w:r>
          </w:p>
        </w:tc>
      </w:tr>
      <w:tr w:rsidR="0041424C" w:rsidRPr="00420710" w14:paraId="4FC1EC11" w14:textId="77777777" w:rsidTr="00AF7ED4">
        <w:trPr>
          <w:trHeight w:val="440"/>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06D07F3"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ACP Price</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71D69292"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ACP Price is the unit (MWh) cost of an Alternative Compliance Payment as approved by the New York Public Service Commission for the Compliance Year.</w:t>
            </w:r>
          </w:p>
        </w:tc>
      </w:tr>
      <w:tr w:rsidR="0041424C" w:rsidRPr="00420710" w14:paraId="2B7C6935" w14:textId="77777777" w:rsidTr="00AF7ED4">
        <w:trPr>
          <w:trHeight w:val="440"/>
        </w:trPr>
        <w:tc>
          <w:tcPr>
            <w:tcW w:w="3415" w:type="dxa"/>
            <w:tcBorders>
              <w:top w:val="single" w:sz="4" w:space="0" w:color="auto"/>
              <w:left w:val="single" w:sz="4" w:space="0" w:color="auto"/>
              <w:bottom w:val="single" w:sz="4" w:space="0" w:color="auto"/>
              <w:right w:val="single" w:sz="4" w:space="0" w:color="auto"/>
            </w:tcBorders>
            <w:shd w:val="clear" w:color="auto" w:fill="auto"/>
            <w:hideMark/>
          </w:tcPr>
          <w:p w14:paraId="5D8A254F"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ACP Charge</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17C63F70" w14:textId="6D39BA6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The ACP Charge provides the LSE with an indication of the current cost of compliance if achieved by paying an ACP</w:t>
            </w:r>
            <w:r w:rsidR="000B7F26">
              <w:rPr>
                <w:rFonts w:ascii="Calibri" w:eastAsia="Times New Roman" w:hAnsi="Calibri" w:cs="Calibri"/>
                <w:color w:val="000000"/>
              </w:rPr>
              <w:t xml:space="preserve">. </w:t>
            </w:r>
            <w:r>
              <w:rPr>
                <w:rFonts w:ascii="Calibri" w:eastAsia="Times New Roman" w:hAnsi="Calibri" w:cs="Calibri"/>
                <w:color w:val="000000"/>
              </w:rPr>
              <w:t xml:space="preserve">ACP Charge is the </w:t>
            </w:r>
            <w:r w:rsidRPr="00420710">
              <w:rPr>
                <w:rFonts w:ascii="Calibri" w:eastAsia="Times New Roman" w:hAnsi="Calibri" w:cs="Calibri"/>
                <w:color w:val="000000"/>
              </w:rPr>
              <w:t xml:space="preserve">Tier 1 </w:t>
            </w:r>
            <w:r>
              <w:rPr>
                <w:rFonts w:ascii="Calibri" w:eastAsia="Times New Roman" w:hAnsi="Calibri" w:cs="Calibri"/>
                <w:color w:val="000000"/>
              </w:rPr>
              <w:t xml:space="preserve">REC </w:t>
            </w:r>
            <w:r w:rsidRPr="00420710">
              <w:rPr>
                <w:rFonts w:ascii="Calibri" w:eastAsia="Times New Roman" w:hAnsi="Calibri" w:cs="Calibri"/>
                <w:color w:val="000000"/>
              </w:rPr>
              <w:t>Balance</w:t>
            </w:r>
            <w:r>
              <w:rPr>
                <w:rFonts w:ascii="Calibri" w:eastAsia="Times New Roman" w:hAnsi="Calibri" w:cs="Calibri"/>
                <w:color w:val="000000"/>
              </w:rPr>
              <w:t xml:space="preserve"> multiplied by the ACP price</w:t>
            </w:r>
            <w:r w:rsidR="000B7F26">
              <w:rPr>
                <w:rFonts w:ascii="Calibri" w:eastAsia="Times New Roman" w:hAnsi="Calibri" w:cs="Calibri"/>
                <w:color w:val="000000"/>
              </w:rPr>
              <w:t xml:space="preserve">. </w:t>
            </w:r>
            <w:r w:rsidRPr="00234057">
              <w:rPr>
                <w:rFonts w:ascii="Calibri" w:eastAsia="Times New Roman" w:hAnsi="Calibri" w:cs="Calibri"/>
                <w:b/>
                <w:color w:val="000000"/>
              </w:rPr>
              <w:t>This information is provided for informational purposes only</w:t>
            </w:r>
            <w:r>
              <w:rPr>
                <w:rFonts w:ascii="Calibri" w:eastAsia="Times New Roman" w:hAnsi="Calibri" w:cs="Calibri"/>
                <w:b/>
                <w:color w:val="000000"/>
              </w:rPr>
              <w:t xml:space="preserve"> and is </w:t>
            </w:r>
            <w:r w:rsidRPr="004D61A4">
              <w:rPr>
                <w:rFonts w:ascii="Calibri" w:eastAsia="Times New Roman" w:hAnsi="Calibri" w:cs="Calibri"/>
                <w:b/>
                <w:color w:val="000000"/>
              </w:rPr>
              <w:t>based on the most recent data</w:t>
            </w:r>
            <w:r>
              <w:rPr>
                <w:rFonts w:ascii="Calibri" w:eastAsia="Times New Roman" w:hAnsi="Calibri" w:cs="Calibri"/>
                <w:b/>
                <w:color w:val="000000"/>
              </w:rPr>
              <w:t xml:space="preserve"> stored</w:t>
            </w:r>
            <w:r w:rsidRPr="004D61A4">
              <w:rPr>
                <w:rFonts w:ascii="Calibri" w:eastAsia="Times New Roman" w:hAnsi="Calibri" w:cs="Calibri"/>
                <w:b/>
                <w:color w:val="000000"/>
              </w:rPr>
              <w:t xml:space="preserve"> in </w:t>
            </w:r>
            <w:r w:rsidR="00E7468C" w:rsidRPr="004D61A4">
              <w:rPr>
                <w:rFonts w:ascii="Calibri" w:eastAsia="Times New Roman" w:hAnsi="Calibri" w:cs="Calibri"/>
                <w:b/>
                <w:color w:val="000000"/>
              </w:rPr>
              <w:t>NYGATS.</w:t>
            </w:r>
          </w:p>
        </w:tc>
      </w:tr>
    </w:tbl>
    <w:p w14:paraId="5EDCCE99" w14:textId="77777777" w:rsidR="0041424C" w:rsidRDefault="0041424C" w:rsidP="0041424C">
      <w:pPr>
        <w:pStyle w:val="Heading2"/>
        <w:rPr>
          <w:b/>
        </w:rPr>
      </w:pPr>
    </w:p>
    <w:p w14:paraId="57EEB433" w14:textId="0D8BBAE4" w:rsidR="00EA1948" w:rsidRDefault="00EA1948" w:rsidP="00F96C44">
      <w:r>
        <w:t xml:space="preserve">Due to the </w:t>
      </w:r>
      <w:r w:rsidR="00AD2BA2">
        <w:t>five-month</w:t>
      </w:r>
      <w:r>
        <w:t xml:space="preserve"> lag for </w:t>
      </w:r>
      <w:r w:rsidR="00AD2BA2">
        <w:t xml:space="preserve">availability of </w:t>
      </w:r>
      <w:r>
        <w:t>NYISO load data</w:t>
      </w:r>
      <w:r w:rsidR="00AD2BA2">
        <w:t xml:space="preserve"> in NYGATS</w:t>
      </w:r>
      <w:r>
        <w:t xml:space="preserve">, the </w:t>
      </w:r>
      <w:bookmarkStart w:id="0" w:name="_Hlk511050543"/>
      <w:r w:rsidR="007675D1">
        <w:t>LSE Preliminary</w:t>
      </w:r>
      <w:r w:rsidR="009C1B09">
        <w:t xml:space="preserve"> RES</w:t>
      </w:r>
      <w:r w:rsidR="00DD1A4A">
        <w:t xml:space="preserve"> </w:t>
      </w:r>
      <w:bookmarkEnd w:id="0"/>
      <w:r>
        <w:t xml:space="preserve">Compliance </w:t>
      </w:r>
      <w:r w:rsidR="009C1B09">
        <w:t xml:space="preserve">Report </w:t>
      </w:r>
      <w:r>
        <w:t xml:space="preserve">does not provide real time information on the LSE’s obligation during the current compliance </w:t>
      </w:r>
      <w:r w:rsidR="00DD1A4A">
        <w:t>year but</w:t>
      </w:r>
      <w:r>
        <w:t xml:space="preserve"> does provide real time data on its </w:t>
      </w:r>
      <w:r w:rsidR="005E4E99">
        <w:t xml:space="preserve">Tier 1 </w:t>
      </w:r>
      <w:r>
        <w:t xml:space="preserve">REC disposition. LSEs may refer to the </w:t>
      </w:r>
      <w:r w:rsidR="00DD1A4A">
        <w:t xml:space="preserve">LSE </w:t>
      </w:r>
      <w:r w:rsidR="009C1B09">
        <w:t xml:space="preserve">Preliminary RES </w:t>
      </w:r>
      <w:r>
        <w:t xml:space="preserve">Compliance </w:t>
      </w:r>
      <w:r w:rsidR="009C1B09">
        <w:t>Report</w:t>
      </w:r>
      <w:r>
        <w:t xml:space="preserve"> as a compliance period progresses to ensure that it has an accurate accounting of its </w:t>
      </w:r>
      <w:r w:rsidR="008832A9">
        <w:t xml:space="preserve">Tier 1 </w:t>
      </w:r>
      <w:r>
        <w:t xml:space="preserve">REC balances in active, banked, and EDP subaccounts. In the later months of the </w:t>
      </w:r>
      <w:r w:rsidR="00AD2BA2">
        <w:t xml:space="preserve">calendar </w:t>
      </w:r>
      <w:r>
        <w:t>year, load data for previous months can indicate if the final RES obligation is likely to be in li</w:t>
      </w:r>
      <w:r w:rsidR="00D2680C">
        <w:t xml:space="preserve">ne </w:t>
      </w:r>
      <w:r w:rsidR="00D2680C">
        <w:lastRenderedPageBreak/>
        <w:t xml:space="preserve">with the LSE’s projections. NYISO load data for the previous compliance period will be available in May, at which point the LSE will be able to view its final </w:t>
      </w:r>
      <w:r w:rsidR="008832A9">
        <w:t xml:space="preserve">Tier 1 </w:t>
      </w:r>
      <w:r w:rsidR="00D2680C">
        <w:t xml:space="preserve">REC obligation and current Tier 1 REC </w:t>
      </w:r>
      <w:r w:rsidR="00D115D1">
        <w:t>balance and</w:t>
      </w:r>
      <w:r w:rsidR="00D2680C">
        <w:t xml:space="preserve"> make any adjustments necessary to ensure it </w:t>
      </w:r>
      <w:r w:rsidR="009B1A5A">
        <w:t>complies</w:t>
      </w:r>
      <w:r w:rsidR="00356531">
        <w:t>, as described below</w:t>
      </w:r>
      <w:r w:rsidR="00D2680C">
        <w:t xml:space="preserve">. </w:t>
      </w:r>
    </w:p>
    <w:p w14:paraId="7B83E296" w14:textId="3584DFEA" w:rsidR="00AC4531" w:rsidRDefault="008832A9" w:rsidP="00AC4531">
      <w:pPr>
        <w:pStyle w:val="Heading2"/>
      </w:pPr>
      <w:r>
        <w:t xml:space="preserve">Tier 1 </w:t>
      </w:r>
      <w:r w:rsidR="00AC4531">
        <w:t>REC Banking and Compliance</w:t>
      </w:r>
    </w:p>
    <w:p w14:paraId="0D98A170" w14:textId="66840B12" w:rsidR="002A2C95" w:rsidRDefault="00AC4531" w:rsidP="002A2C95">
      <w:r>
        <w:t xml:space="preserve">The </w:t>
      </w:r>
      <w:hyperlink r:id="rId23" w:history="1">
        <w:r w:rsidR="00451918" w:rsidRPr="00770F21">
          <w:rPr>
            <w:rStyle w:val="Hyperlink"/>
          </w:rPr>
          <w:t>Phase 2 Implementation Plan</w:t>
        </w:r>
      </w:hyperlink>
      <w:r w:rsidR="00451918">
        <w:rPr>
          <w:rStyle w:val="Hyperlink"/>
        </w:rPr>
        <w:t xml:space="preserve"> </w:t>
      </w:r>
      <w:r>
        <w:t xml:space="preserve">established rules for the banking and withdrawal of </w:t>
      </w:r>
      <w:r w:rsidR="008832A9">
        <w:t xml:space="preserve">Tier 1 </w:t>
      </w:r>
      <w:r>
        <w:t>RECs</w:t>
      </w:r>
      <w:r w:rsidR="006A5A85">
        <w:t xml:space="preserve"> for RES compliance</w:t>
      </w:r>
      <w:r w:rsidR="00451918">
        <w:rPr>
          <w:rStyle w:val="FootnoteReference"/>
        </w:rPr>
        <w:footnoteReference w:id="3"/>
      </w:r>
      <w:r w:rsidR="000B7F26">
        <w:t xml:space="preserve">. </w:t>
      </w:r>
      <w:r w:rsidR="0041424C">
        <w:t>T</w:t>
      </w:r>
      <w:r>
        <w:t>he IP Order</w:t>
      </w:r>
      <w:r w:rsidR="0041424C">
        <w:t xml:space="preserve"> states:</w:t>
      </w:r>
      <w:r>
        <w:t xml:space="preserve"> </w:t>
      </w:r>
      <w:r w:rsidRPr="00A165FE">
        <w:rPr>
          <w:i/>
        </w:rPr>
        <w:t xml:space="preserve">“Banked certificates are in excess of the number of certificates needed in the compliance period in which they were generated, and such excess NYGATS certificates have not previously been used for compliance with the </w:t>
      </w:r>
      <w:r w:rsidR="00D115D1" w:rsidRPr="00A165FE">
        <w:rPr>
          <w:i/>
        </w:rPr>
        <w:t>RES and</w:t>
      </w:r>
      <w:r w:rsidRPr="00A165FE">
        <w:rPr>
          <w:i/>
        </w:rPr>
        <w:t xml:space="preserve"> have not been otherwise transferred to other parties.”</w:t>
      </w:r>
      <w:r>
        <w:t xml:space="preserve"> Based on the banking rules </w:t>
      </w:r>
      <w:r w:rsidRPr="0041424C">
        <w:rPr>
          <w:b/>
          <w:u w:val="single"/>
        </w:rPr>
        <w:t>in effect in 2018</w:t>
      </w:r>
      <w:r>
        <w:t xml:space="preserve">, LSEs </w:t>
      </w:r>
      <w:r w:rsidR="002A2C95">
        <w:t xml:space="preserve">with excess </w:t>
      </w:r>
      <w:r w:rsidR="008832A9">
        <w:t xml:space="preserve">Tier 1 </w:t>
      </w:r>
      <w:r w:rsidR="002A2C95">
        <w:t xml:space="preserve">RECs beyond their needs for compliance in the current compliance year can bank those </w:t>
      </w:r>
      <w:r w:rsidR="008832A9">
        <w:t xml:space="preserve">Tier 1 </w:t>
      </w:r>
      <w:r w:rsidR="002A2C95">
        <w:t>RECs for use in the two subsequent compliance years</w:t>
      </w:r>
      <w:r w:rsidR="000B7F26">
        <w:t xml:space="preserve">. </w:t>
      </w:r>
      <w:r w:rsidR="006A5A85">
        <w:t>Conversely</w:t>
      </w:r>
      <w:r w:rsidR="0041424C">
        <w:t xml:space="preserve">, </w:t>
      </w:r>
      <w:r w:rsidR="002A2C95">
        <w:t xml:space="preserve">LSEs can apply banked </w:t>
      </w:r>
      <w:r w:rsidR="008832A9">
        <w:t xml:space="preserve">Tier 1 </w:t>
      </w:r>
      <w:r w:rsidR="002A2C95">
        <w:t>RECs from the prior two years for use in the current compliance year</w:t>
      </w:r>
      <w:r w:rsidR="000B7F26">
        <w:t xml:space="preserve">. </w:t>
      </w:r>
    </w:p>
    <w:p w14:paraId="3375EC6D" w14:textId="420B89CB" w:rsidR="00AC4531" w:rsidRDefault="00AC4531" w:rsidP="00AC4531">
      <w:r>
        <w:t>There are conditions related to banking</w:t>
      </w:r>
      <w:r w:rsidR="0041424C">
        <w:t xml:space="preserve"> and using banked </w:t>
      </w:r>
      <w:r w:rsidR="008832A9">
        <w:t xml:space="preserve">Tier 1 </w:t>
      </w:r>
      <w:r w:rsidR="0041424C">
        <w:t>RECs</w:t>
      </w:r>
      <w:r>
        <w:t>:</w:t>
      </w:r>
    </w:p>
    <w:p w14:paraId="00E58810" w14:textId="2CF97DAF" w:rsidR="00D327B4" w:rsidRDefault="00D327B4" w:rsidP="00AC4531">
      <w:pPr>
        <w:pStyle w:val="ListParagraph"/>
        <w:numPr>
          <w:ilvl w:val="0"/>
          <w:numId w:val="3"/>
        </w:numPr>
      </w:pPr>
      <w:r>
        <w:t>Only obligated LSEs may bank Tier 1 RECs, and banked certificates may not be transferred.</w:t>
      </w:r>
    </w:p>
    <w:p w14:paraId="53FCDF70" w14:textId="04E1CF01" w:rsidR="00AC4531" w:rsidRDefault="00AC4531" w:rsidP="00AC4531">
      <w:pPr>
        <w:pStyle w:val="ListParagraph"/>
        <w:numPr>
          <w:ilvl w:val="0"/>
          <w:numId w:val="3"/>
        </w:numPr>
      </w:pPr>
      <w:r>
        <w:t xml:space="preserve">LSEs may only bank excess </w:t>
      </w:r>
      <w:r w:rsidR="008832A9">
        <w:t xml:space="preserve">Tier 1 </w:t>
      </w:r>
      <w:r>
        <w:t>RECs above their current year compliance obligation</w:t>
      </w:r>
      <w:r w:rsidR="00D327B4">
        <w:t>.</w:t>
      </w:r>
      <w:r>
        <w:t xml:space="preserve"> </w:t>
      </w:r>
    </w:p>
    <w:p w14:paraId="2714A6F4" w14:textId="4EF3E1E0" w:rsidR="00AC4531" w:rsidRDefault="00AC4531" w:rsidP="00F96C44">
      <w:pPr>
        <w:pStyle w:val="ListParagraph"/>
        <w:numPr>
          <w:ilvl w:val="0"/>
          <w:numId w:val="3"/>
        </w:numPr>
      </w:pPr>
      <w:r>
        <w:t xml:space="preserve">LSEs must have </w:t>
      </w:r>
      <w:proofErr w:type="gramStart"/>
      <w:r>
        <w:t>been in compliance with</w:t>
      </w:r>
      <w:proofErr w:type="gramEnd"/>
      <w:r>
        <w:t xml:space="preserve"> the RES for all previous compliance periods to use banked </w:t>
      </w:r>
      <w:r w:rsidR="00E37722">
        <w:t xml:space="preserve">Tier 1 </w:t>
      </w:r>
      <w:r>
        <w:t xml:space="preserve">RECs towards its RES obligation. </w:t>
      </w:r>
    </w:p>
    <w:p w14:paraId="15320ACC" w14:textId="519E1945" w:rsidR="00464EFF" w:rsidRDefault="00D327B4" w:rsidP="00451918">
      <w:pPr>
        <w:pStyle w:val="ListParagraph"/>
        <w:numPr>
          <w:ilvl w:val="0"/>
          <w:numId w:val="3"/>
        </w:numPr>
      </w:pPr>
      <w:r>
        <w:t>Tier 1 RECs banked in a given year may not exceed 60% of the LSE’s compliance obligation for that year.</w:t>
      </w:r>
      <w:r>
        <w:rPr>
          <w:rStyle w:val="FootnoteReference"/>
        </w:rPr>
        <w:footnoteReference w:id="4"/>
      </w:r>
      <w:r>
        <w:t xml:space="preserve"> </w:t>
      </w:r>
    </w:p>
    <w:p w14:paraId="3BD4E317" w14:textId="77777777" w:rsidR="00D2680C" w:rsidRDefault="00FE5BEF" w:rsidP="00FE5BEF">
      <w:pPr>
        <w:pStyle w:val="Heading2"/>
      </w:pPr>
      <w:r>
        <w:t>LSE ZEC Compliance Summary</w:t>
      </w:r>
    </w:p>
    <w:p w14:paraId="7118BEEC" w14:textId="6B393080" w:rsidR="00FE5BEF" w:rsidRDefault="00FE5BEF" w:rsidP="00FE5BEF">
      <w:r>
        <w:t>The LSE ZEC Compliance Summary contains the following information</w:t>
      </w:r>
      <w:r w:rsidR="00B82C95">
        <w:t xml:space="preserve">, as </w:t>
      </w:r>
      <w:proofErr w:type="gramStart"/>
      <w:r w:rsidR="00040092">
        <w:t xml:space="preserve">depicted </w:t>
      </w:r>
      <w:r w:rsidR="00B82C95">
        <w:t xml:space="preserve"> below</w:t>
      </w:r>
      <w:proofErr w:type="gramEnd"/>
      <w:r w:rsidR="00B82C95">
        <w:t>,</w:t>
      </w:r>
      <w:r>
        <w:t xml:space="preserve"> for the current and previous compliance year (which </w:t>
      </w:r>
      <w:r w:rsidR="00040092">
        <w:t xml:space="preserve">operated  from </w:t>
      </w:r>
      <w:r>
        <w:t>April-March):</w:t>
      </w:r>
    </w:p>
    <w:p w14:paraId="5D614E35" w14:textId="77777777" w:rsidR="00B82C95" w:rsidRDefault="00B82C95" w:rsidP="00FE5BEF">
      <w:r>
        <w:rPr>
          <w:noProof/>
        </w:rPr>
        <w:drawing>
          <wp:inline distT="0" distB="0" distL="0" distR="0" wp14:anchorId="67F067DC" wp14:editId="165831A4">
            <wp:extent cx="5943600" cy="582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582930"/>
                    </a:xfrm>
                    <a:prstGeom prst="rect">
                      <a:avLst/>
                    </a:prstGeom>
                  </pic:spPr>
                </pic:pic>
              </a:graphicData>
            </a:graphic>
          </wp:inline>
        </w:drawing>
      </w:r>
    </w:p>
    <w:p w14:paraId="79022570" w14:textId="77777777" w:rsidR="00236A36" w:rsidRPr="00236A36" w:rsidRDefault="00236A36" w:rsidP="0041424C">
      <w:pPr>
        <w:pStyle w:val="Heading2"/>
        <w:rPr>
          <w:rFonts w:asciiTheme="minorHAnsi" w:eastAsiaTheme="minorHAnsi" w:hAnsiTheme="minorHAnsi" w:cstheme="minorBidi"/>
          <w:color w:val="auto"/>
          <w:sz w:val="22"/>
          <w:szCs w:val="22"/>
        </w:rPr>
      </w:pPr>
      <w:r w:rsidRPr="00236A36">
        <w:rPr>
          <w:rFonts w:asciiTheme="minorHAnsi" w:eastAsiaTheme="minorHAnsi" w:hAnsiTheme="minorHAnsi" w:cstheme="minorBidi"/>
          <w:color w:val="auto"/>
          <w:sz w:val="22"/>
          <w:szCs w:val="22"/>
        </w:rPr>
        <w:t xml:space="preserve">The following table provides definitions for the data elements in the </w:t>
      </w:r>
      <w:r>
        <w:rPr>
          <w:rFonts w:asciiTheme="minorHAnsi" w:eastAsiaTheme="minorHAnsi" w:hAnsiTheme="minorHAnsi" w:cstheme="minorBidi"/>
          <w:color w:val="auto"/>
          <w:sz w:val="22"/>
          <w:szCs w:val="22"/>
        </w:rPr>
        <w:t>Yearly ZEC</w:t>
      </w:r>
      <w:r w:rsidRPr="00236A36">
        <w:rPr>
          <w:rFonts w:asciiTheme="minorHAnsi" w:eastAsiaTheme="minorHAnsi" w:hAnsiTheme="minorHAnsi" w:cstheme="minorBidi"/>
          <w:color w:val="auto"/>
          <w:sz w:val="22"/>
          <w:szCs w:val="22"/>
        </w:rPr>
        <w:t xml:space="preserve"> Compliance Summary section in NYGATS.</w:t>
      </w:r>
    </w:p>
    <w:p w14:paraId="62631FE3" w14:textId="77777777" w:rsidR="0041424C" w:rsidRDefault="0041424C" w:rsidP="0041424C">
      <w:pPr>
        <w:pStyle w:val="Heading2"/>
        <w:rPr>
          <w:b/>
        </w:rPr>
      </w:pPr>
      <w:r w:rsidRPr="00420710">
        <w:rPr>
          <w:b/>
        </w:rPr>
        <w:t>‘Yearly ZEC Compliance Summary’ table definition</w:t>
      </w:r>
    </w:p>
    <w:tbl>
      <w:tblPr>
        <w:tblW w:w="9895" w:type="dxa"/>
        <w:tblLook w:val="04A0" w:firstRow="1" w:lastRow="0" w:firstColumn="1" w:lastColumn="0" w:noHBand="0" w:noVBand="1"/>
      </w:tblPr>
      <w:tblGrid>
        <w:gridCol w:w="3415"/>
        <w:gridCol w:w="6480"/>
      </w:tblGrid>
      <w:tr w:rsidR="0041424C" w:rsidRPr="00420710" w14:paraId="35D2C6B2"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0FCB3E61" w14:textId="77777777" w:rsidR="0041424C" w:rsidRPr="00420710" w:rsidRDefault="0041424C" w:rsidP="00AF7ED4">
            <w:pPr>
              <w:spacing w:after="0" w:line="240" w:lineRule="auto"/>
              <w:rPr>
                <w:rFonts w:ascii="Calibri" w:eastAsia="Times New Roman" w:hAnsi="Calibri" w:cs="Calibri"/>
                <w:b/>
                <w:bCs/>
                <w:color w:val="FFFFFF"/>
              </w:rPr>
            </w:pPr>
            <w:r w:rsidRPr="00420710">
              <w:rPr>
                <w:rFonts w:ascii="Calibri" w:eastAsia="Times New Roman" w:hAnsi="Calibri" w:cs="Calibri"/>
                <w:b/>
                <w:bCs/>
                <w:color w:val="FFFFFF"/>
              </w:rPr>
              <w:t>Column Name</w:t>
            </w:r>
          </w:p>
        </w:tc>
        <w:tc>
          <w:tcPr>
            <w:tcW w:w="6480"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0324CCD5" w14:textId="77777777" w:rsidR="0041424C" w:rsidRPr="00420710" w:rsidRDefault="0041424C" w:rsidP="00AF7ED4">
            <w:pPr>
              <w:spacing w:after="0" w:line="240" w:lineRule="auto"/>
              <w:rPr>
                <w:rFonts w:ascii="Calibri" w:eastAsia="Times New Roman" w:hAnsi="Calibri" w:cs="Calibri"/>
                <w:b/>
                <w:bCs/>
                <w:color w:val="FFFFFF"/>
              </w:rPr>
            </w:pPr>
            <w:r w:rsidRPr="00420710">
              <w:rPr>
                <w:rFonts w:ascii="Calibri" w:eastAsia="Times New Roman" w:hAnsi="Calibri" w:cs="Calibri"/>
                <w:b/>
                <w:bCs/>
                <w:color w:val="FFFFFF"/>
              </w:rPr>
              <w:t>Description</w:t>
            </w:r>
          </w:p>
        </w:tc>
      </w:tr>
      <w:tr w:rsidR="0041424C" w:rsidRPr="00420710" w14:paraId="5852F25C" w14:textId="77777777" w:rsidTr="00AF7ED4">
        <w:trPr>
          <w:trHeight w:val="56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1D60CC"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Compliance Year</w:t>
            </w:r>
            <w:r>
              <w:rPr>
                <w:rFonts w:ascii="Calibri" w:eastAsia="Times New Roman" w:hAnsi="Calibri" w:cs="Calibri"/>
                <w:color w:val="000000"/>
              </w:rPr>
              <w:t xml:space="preserve"> (April – March)</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17638C" w14:textId="12BF5028"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This identifies the Zero Emissions Credit Compliance Year and the time frame of the Compliance Year</w:t>
            </w:r>
            <w:r w:rsidR="000B7F26">
              <w:rPr>
                <w:rFonts w:ascii="Calibri" w:eastAsia="Times New Roman" w:hAnsi="Calibri" w:cs="Calibri"/>
                <w:color w:val="000000"/>
              </w:rPr>
              <w:t xml:space="preserve">. </w:t>
            </w:r>
            <w:r>
              <w:rPr>
                <w:rFonts w:ascii="Calibri" w:eastAsia="Times New Roman" w:hAnsi="Calibri" w:cs="Calibri"/>
                <w:color w:val="000000"/>
              </w:rPr>
              <w:t>The first year is 2017</w:t>
            </w:r>
            <w:r w:rsidR="000B7F26">
              <w:rPr>
                <w:rFonts w:ascii="Calibri" w:eastAsia="Times New Roman" w:hAnsi="Calibri" w:cs="Calibri"/>
                <w:color w:val="000000"/>
              </w:rPr>
              <w:t xml:space="preserve">. </w:t>
            </w:r>
          </w:p>
        </w:tc>
      </w:tr>
      <w:tr w:rsidR="0041424C" w:rsidRPr="00420710" w14:paraId="1B90209E"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8A10C"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 xml:space="preserve">LSE </w:t>
            </w:r>
            <w:r>
              <w:rPr>
                <w:rFonts w:ascii="Calibri" w:eastAsia="Times New Roman" w:hAnsi="Calibri" w:cs="Calibri"/>
                <w:color w:val="000000"/>
              </w:rPr>
              <w:t xml:space="preserve">Total </w:t>
            </w:r>
            <w:r w:rsidRPr="00420710">
              <w:rPr>
                <w:rFonts w:ascii="Calibri" w:eastAsia="Times New Roman" w:hAnsi="Calibri" w:cs="Calibri"/>
                <w:color w:val="000000"/>
              </w:rPr>
              <w:t>Load through [Month</w:t>
            </w:r>
            <w:r>
              <w:rPr>
                <w:rFonts w:ascii="Calibri" w:eastAsia="Times New Roman" w:hAnsi="Calibri" w:cs="Calibri"/>
                <w:color w:val="000000"/>
              </w:rPr>
              <w:t xml:space="preserve"> Year</w:t>
            </w:r>
            <w:r w:rsidRPr="00420710">
              <w:rPr>
                <w:rFonts w:ascii="Calibri" w:eastAsia="Times New Roman" w:hAnsi="Calibri" w:cs="Calibri"/>
                <w:color w:val="000000"/>
              </w:rPr>
              <w:t>] (MWh)</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6F2DF" w14:textId="5DB79654"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 xml:space="preserve">LSE </w:t>
            </w:r>
            <w:r>
              <w:rPr>
                <w:rFonts w:ascii="Calibri" w:eastAsia="Times New Roman" w:hAnsi="Calibri" w:cs="Calibri"/>
                <w:color w:val="000000"/>
              </w:rPr>
              <w:t>total electrical l</w:t>
            </w:r>
            <w:r w:rsidRPr="00420710">
              <w:rPr>
                <w:rFonts w:ascii="Calibri" w:eastAsia="Times New Roman" w:hAnsi="Calibri" w:cs="Calibri"/>
                <w:color w:val="000000"/>
              </w:rPr>
              <w:t xml:space="preserve">oad for the </w:t>
            </w:r>
            <w:r>
              <w:rPr>
                <w:rFonts w:ascii="Calibri" w:eastAsia="Times New Roman" w:hAnsi="Calibri" w:cs="Calibri"/>
                <w:color w:val="000000"/>
              </w:rPr>
              <w:t>Compliance Year</w:t>
            </w:r>
            <w:r w:rsidRPr="00420710">
              <w:rPr>
                <w:rFonts w:ascii="Calibri" w:eastAsia="Times New Roman" w:hAnsi="Calibri" w:cs="Calibri"/>
                <w:color w:val="000000"/>
              </w:rPr>
              <w:t xml:space="preserve"> </w:t>
            </w:r>
            <w:r>
              <w:rPr>
                <w:rFonts w:ascii="Calibri" w:eastAsia="Times New Roman" w:hAnsi="Calibri" w:cs="Calibri"/>
                <w:color w:val="000000"/>
              </w:rPr>
              <w:t>beginning with the first month of the Compliance Year</w:t>
            </w:r>
            <w:r w:rsidRPr="00420710">
              <w:rPr>
                <w:rFonts w:ascii="Calibri" w:eastAsia="Times New Roman" w:hAnsi="Calibri" w:cs="Calibri"/>
                <w:color w:val="000000"/>
              </w:rPr>
              <w:t xml:space="preserve"> </w:t>
            </w:r>
            <w:r>
              <w:rPr>
                <w:rFonts w:ascii="Calibri" w:eastAsia="Times New Roman" w:hAnsi="Calibri" w:cs="Calibri"/>
                <w:color w:val="000000"/>
              </w:rPr>
              <w:t>through the month indicated i.e. May 2017</w:t>
            </w:r>
            <w:r w:rsidR="000B7F26">
              <w:rPr>
                <w:rFonts w:ascii="Calibri" w:eastAsia="Times New Roman" w:hAnsi="Calibri" w:cs="Calibri"/>
                <w:color w:val="000000"/>
              </w:rPr>
              <w:t xml:space="preserve">. </w:t>
            </w:r>
            <w:r>
              <w:rPr>
                <w:rFonts w:ascii="Calibri" w:eastAsia="Times New Roman" w:hAnsi="Calibri" w:cs="Calibri"/>
                <w:color w:val="000000"/>
              </w:rPr>
              <w:t>This load will be the most recent NYISO V2 data received by NYGATS.</w:t>
            </w:r>
          </w:p>
        </w:tc>
      </w:tr>
      <w:tr w:rsidR="0041424C" w:rsidRPr="00420710" w14:paraId="06DB6D8E"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016F2"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LSE </w:t>
            </w:r>
            <w:r w:rsidRPr="00420710">
              <w:rPr>
                <w:rFonts w:ascii="Calibri" w:eastAsia="Times New Roman" w:hAnsi="Calibri" w:cs="Calibri"/>
                <w:color w:val="000000"/>
              </w:rPr>
              <w:t>Load Share</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BCECF6" w14:textId="446798E2"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LSE Load Share is the LSE’s percentage of the total New York State electric load</w:t>
            </w:r>
            <w:r w:rsidR="000B7F26">
              <w:rPr>
                <w:rFonts w:ascii="Calibri" w:eastAsia="Times New Roman" w:hAnsi="Calibri" w:cs="Calibri"/>
                <w:color w:val="000000"/>
              </w:rPr>
              <w:t xml:space="preserve">. </w:t>
            </w:r>
            <w:r>
              <w:rPr>
                <w:rFonts w:ascii="Calibri" w:eastAsia="Times New Roman" w:hAnsi="Calibri" w:cs="Calibri"/>
                <w:color w:val="000000"/>
              </w:rPr>
              <w:t xml:space="preserve">The LSE Load Share is the </w:t>
            </w:r>
            <w:r w:rsidRPr="00420710">
              <w:rPr>
                <w:rFonts w:ascii="Calibri" w:eastAsia="Times New Roman" w:hAnsi="Calibri" w:cs="Calibri"/>
                <w:color w:val="000000"/>
              </w:rPr>
              <w:t xml:space="preserve">LSE </w:t>
            </w:r>
            <w:r>
              <w:rPr>
                <w:rFonts w:ascii="Calibri" w:eastAsia="Times New Roman" w:hAnsi="Calibri" w:cs="Calibri"/>
                <w:color w:val="000000"/>
              </w:rPr>
              <w:t xml:space="preserve">Total </w:t>
            </w:r>
            <w:r w:rsidRPr="00420710">
              <w:rPr>
                <w:rFonts w:ascii="Calibri" w:eastAsia="Times New Roman" w:hAnsi="Calibri" w:cs="Calibri"/>
                <w:color w:val="000000"/>
              </w:rPr>
              <w:t>Load</w:t>
            </w:r>
            <w:r>
              <w:rPr>
                <w:rFonts w:ascii="Calibri" w:eastAsia="Times New Roman" w:hAnsi="Calibri" w:cs="Calibri"/>
                <w:color w:val="000000"/>
              </w:rPr>
              <w:t xml:space="preserve"> for the Compliance Year divided by the total New York State electric load for that same period.</w:t>
            </w:r>
          </w:p>
        </w:tc>
      </w:tr>
      <w:tr w:rsidR="0041424C" w:rsidRPr="00420710" w14:paraId="297303D1"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069AA8"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LSE ZEC Obligation</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67F01B"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The LSE ZEC Obligation is the LSE Load Share multiplied by the</w:t>
            </w:r>
            <w:r w:rsidRPr="00420710">
              <w:rPr>
                <w:rFonts w:ascii="Calibri" w:eastAsia="Times New Roman" w:hAnsi="Calibri" w:cs="Calibri"/>
                <w:color w:val="000000"/>
              </w:rPr>
              <w:t xml:space="preserve"> </w:t>
            </w:r>
            <w:r>
              <w:rPr>
                <w:rFonts w:ascii="Calibri" w:eastAsia="Times New Roman" w:hAnsi="Calibri" w:cs="Calibri"/>
                <w:color w:val="000000"/>
              </w:rPr>
              <w:t>number of ZECs that have been created in NYGATS during the Compliance Year based on the most recent data in NYGATS.</w:t>
            </w:r>
          </w:p>
        </w:tc>
      </w:tr>
      <w:tr w:rsidR="0041424C" w:rsidRPr="00420710" w14:paraId="1D35C796"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6631C2"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ZECs</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FA83C"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The number of ZECs in</w:t>
            </w:r>
            <w:r>
              <w:rPr>
                <w:rFonts w:ascii="Calibri" w:eastAsia="Times New Roman" w:hAnsi="Calibri" w:cs="Calibri"/>
                <w:color w:val="000000"/>
              </w:rPr>
              <w:t xml:space="preserve"> an LSE’s NYGATS </w:t>
            </w:r>
            <w:r w:rsidRPr="00420710">
              <w:rPr>
                <w:rFonts w:ascii="Calibri" w:eastAsia="Times New Roman" w:hAnsi="Calibri" w:cs="Calibri"/>
                <w:color w:val="000000"/>
              </w:rPr>
              <w:t xml:space="preserve">account for the </w:t>
            </w:r>
            <w:r>
              <w:rPr>
                <w:rFonts w:ascii="Calibri" w:eastAsia="Times New Roman" w:hAnsi="Calibri" w:cs="Calibri"/>
                <w:color w:val="000000"/>
              </w:rPr>
              <w:t>Compliance Y</w:t>
            </w:r>
            <w:r w:rsidRPr="00420710">
              <w:rPr>
                <w:rFonts w:ascii="Calibri" w:eastAsia="Times New Roman" w:hAnsi="Calibri" w:cs="Calibri"/>
                <w:color w:val="000000"/>
              </w:rPr>
              <w:t>ear</w:t>
            </w:r>
            <w:r>
              <w:rPr>
                <w:rFonts w:ascii="Calibri" w:eastAsia="Times New Roman" w:hAnsi="Calibri" w:cs="Calibri"/>
                <w:color w:val="000000"/>
              </w:rPr>
              <w:t>.</w:t>
            </w:r>
          </w:p>
        </w:tc>
      </w:tr>
      <w:tr w:rsidR="0041424C" w:rsidRPr="00420710" w14:paraId="647C6A53"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68B67" w14:textId="77777777" w:rsidR="0041424C" w:rsidRPr="00420710" w:rsidRDefault="0041424C" w:rsidP="00AF7ED4">
            <w:pPr>
              <w:spacing w:after="0" w:line="240" w:lineRule="auto"/>
              <w:rPr>
                <w:rFonts w:ascii="Calibri" w:eastAsia="Times New Roman" w:hAnsi="Calibri" w:cs="Calibri"/>
                <w:color w:val="000000"/>
              </w:rPr>
            </w:pPr>
            <w:r w:rsidRPr="00420710">
              <w:rPr>
                <w:rFonts w:ascii="Calibri" w:eastAsia="Times New Roman" w:hAnsi="Calibri" w:cs="Calibri"/>
                <w:color w:val="000000"/>
              </w:rPr>
              <w:t>ZEC Balance</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E8EB3F3" w14:textId="77777777" w:rsidR="0041424C"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 xml:space="preserve">The difference between the ZECs and the LSE ZEC </w:t>
            </w:r>
            <w:r w:rsidRPr="00420710">
              <w:rPr>
                <w:rFonts w:ascii="Calibri" w:eastAsia="Times New Roman" w:hAnsi="Calibri" w:cs="Calibri"/>
                <w:color w:val="000000"/>
              </w:rPr>
              <w:t>Obligation</w:t>
            </w:r>
            <w:r>
              <w:rPr>
                <w:rFonts w:ascii="Calibri" w:eastAsia="Times New Roman" w:hAnsi="Calibri" w:cs="Calibri"/>
                <w:color w:val="000000"/>
              </w:rPr>
              <w:t xml:space="preserve"> for a given Compliance Year.</w:t>
            </w:r>
          </w:p>
          <w:p w14:paraId="539A60B2"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 xml:space="preserve">Note:  Negative numbers are displayed in </w:t>
            </w:r>
            <w:r w:rsidRPr="0033750B">
              <w:rPr>
                <w:rFonts w:ascii="Calibri" w:eastAsia="Times New Roman" w:hAnsi="Calibri" w:cs="Calibri"/>
                <w:color w:val="000000"/>
              </w:rPr>
              <w:t>parenthesis</w:t>
            </w:r>
            <w:r>
              <w:rPr>
                <w:rFonts w:ascii="Calibri" w:eastAsia="Times New Roman" w:hAnsi="Calibri" w:cs="Calibri"/>
                <w:color w:val="000000"/>
              </w:rPr>
              <w:t>.</w:t>
            </w:r>
          </w:p>
        </w:tc>
      </w:tr>
      <w:tr w:rsidR="0041424C" w:rsidRPr="00420710" w14:paraId="2D36FE76"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407CDF1"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ZEC Price</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tcPr>
          <w:p w14:paraId="0A745D96"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ZEC Price is the unit (MWh) cost of a ZEC as approved by the New York Public Service Commission for the Compliance Year.</w:t>
            </w:r>
          </w:p>
        </w:tc>
      </w:tr>
      <w:tr w:rsidR="0041424C" w:rsidRPr="00420710" w14:paraId="216922B9" w14:textId="77777777" w:rsidTr="00AF7ED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CCCCD6" w14:textId="77777777" w:rsidR="0041424C" w:rsidRPr="00420710"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 xml:space="preserve">ZEC </w:t>
            </w:r>
            <w:r w:rsidRPr="00420710">
              <w:rPr>
                <w:rFonts w:ascii="Calibri" w:eastAsia="Times New Roman" w:hAnsi="Calibri" w:cs="Calibri"/>
                <w:color w:val="000000"/>
              </w:rPr>
              <w:t>Total Charges</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AEAA9" w14:textId="61338456" w:rsidR="0041424C" w:rsidRPr="00232FED" w:rsidRDefault="0041424C" w:rsidP="00AF7ED4">
            <w:pPr>
              <w:spacing w:after="0" w:line="240" w:lineRule="auto"/>
              <w:rPr>
                <w:rFonts w:ascii="Calibri" w:eastAsia="Times New Roman" w:hAnsi="Calibri" w:cs="Calibri"/>
                <w:color w:val="000000"/>
              </w:rPr>
            </w:pPr>
            <w:r>
              <w:rPr>
                <w:rFonts w:ascii="Calibri" w:eastAsia="Times New Roman" w:hAnsi="Calibri" w:cs="Calibri"/>
                <w:color w:val="000000"/>
              </w:rPr>
              <w:t xml:space="preserve">ZEC Total Charge is the ZEC </w:t>
            </w:r>
            <w:r w:rsidRPr="00420710">
              <w:rPr>
                <w:rFonts w:ascii="Calibri" w:eastAsia="Times New Roman" w:hAnsi="Calibri" w:cs="Calibri"/>
                <w:color w:val="000000"/>
              </w:rPr>
              <w:t>Balance</w:t>
            </w:r>
            <w:r>
              <w:rPr>
                <w:rFonts w:ascii="Calibri" w:eastAsia="Times New Roman" w:hAnsi="Calibri" w:cs="Calibri"/>
                <w:color w:val="000000"/>
              </w:rPr>
              <w:t xml:space="preserve"> multiplied by the ZEC price</w:t>
            </w:r>
            <w:r w:rsidR="000B7F26">
              <w:rPr>
                <w:rFonts w:ascii="Calibri" w:eastAsia="Times New Roman" w:hAnsi="Calibri" w:cs="Calibri"/>
                <w:color w:val="000000"/>
              </w:rPr>
              <w:t xml:space="preserve">. </w:t>
            </w:r>
            <w:r w:rsidRPr="00234057">
              <w:rPr>
                <w:rFonts w:ascii="Calibri" w:eastAsia="Times New Roman" w:hAnsi="Calibri" w:cs="Calibri"/>
                <w:b/>
                <w:color w:val="000000"/>
              </w:rPr>
              <w:t>This</w:t>
            </w:r>
            <w:r>
              <w:rPr>
                <w:rFonts w:ascii="Calibri" w:eastAsia="Times New Roman" w:hAnsi="Calibri" w:cs="Calibri"/>
                <w:b/>
                <w:color w:val="000000"/>
              </w:rPr>
              <w:t xml:space="preserve"> </w:t>
            </w:r>
            <w:r w:rsidRPr="00234057">
              <w:rPr>
                <w:rFonts w:ascii="Calibri" w:eastAsia="Times New Roman" w:hAnsi="Calibri" w:cs="Calibri"/>
                <w:b/>
                <w:color w:val="000000"/>
              </w:rPr>
              <w:t>information is provided for informational purposes only</w:t>
            </w:r>
            <w:r>
              <w:rPr>
                <w:rFonts w:ascii="Calibri" w:eastAsia="Times New Roman" w:hAnsi="Calibri" w:cs="Calibri"/>
                <w:b/>
                <w:color w:val="000000"/>
              </w:rPr>
              <w:t xml:space="preserve"> and is based on the most recent data stored in NYGATS</w:t>
            </w:r>
            <w:r w:rsidR="000B7F26">
              <w:rPr>
                <w:rFonts w:ascii="Calibri" w:eastAsia="Times New Roman" w:hAnsi="Calibri" w:cs="Calibri"/>
                <w:b/>
                <w:color w:val="000000"/>
              </w:rPr>
              <w:t xml:space="preserve">. </w:t>
            </w:r>
            <w:r>
              <w:rPr>
                <w:rFonts w:ascii="Calibri" w:eastAsia="Times New Roman" w:hAnsi="Calibri" w:cs="Calibri"/>
                <w:color w:val="000000"/>
              </w:rPr>
              <w:t>Negative numbers are displayed in parenthesis.</w:t>
            </w:r>
          </w:p>
        </w:tc>
      </w:tr>
    </w:tbl>
    <w:p w14:paraId="5965D811" w14:textId="77777777" w:rsidR="006A5A85" w:rsidRDefault="006A5A85" w:rsidP="00F96C44"/>
    <w:p w14:paraId="331EDB3E" w14:textId="0CB55D12" w:rsidR="00FE5BEF" w:rsidRDefault="00FE5BEF" w:rsidP="00F96C44">
      <w:r>
        <w:t xml:space="preserve">Final ZEC obligations are calculated </w:t>
      </w:r>
      <w:r w:rsidR="004F31A7">
        <w:t xml:space="preserve">for the compliance year </w:t>
      </w:r>
      <w:r>
        <w:t>after all NYISO load data is available for the full compliance period. Throughout the compliance period, LSEs make monthly payments to NYSERDA</w:t>
      </w:r>
      <w:r w:rsidR="00D900DA">
        <w:t xml:space="preserve"> </w:t>
      </w:r>
      <w:r>
        <w:t>for the estimated amount of ZECs it will require</w:t>
      </w:r>
      <w:r w:rsidR="00D900DA" w:rsidRPr="00BC1D84">
        <w:t xml:space="preserve">, according to the payment schedule and </w:t>
      </w:r>
      <w:hyperlink r:id="rId25" w:history="1">
        <w:r w:rsidR="00D900DA" w:rsidRPr="00BC1D84">
          <w:rPr>
            <w:rStyle w:val="Hyperlink"/>
          </w:rPr>
          <w:t xml:space="preserve">ZEC Agreement </w:t>
        </w:r>
      </w:hyperlink>
      <w:r w:rsidR="00D900DA" w:rsidRPr="00BC1D84">
        <w:t xml:space="preserve">NYSERDA provided to LSEs </w:t>
      </w:r>
      <w:r w:rsidR="004C7983">
        <w:t>each year</w:t>
      </w:r>
      <w:r w:rsidR="004A70E5">
        <w:t xml:space="preserve">.  </w:t>
      </w:r>
      <w:r w:rsidRPr="00BC1D84">
        <w:t>T</w:t>
      </w:r>
      <w:r>
        <w:t xml:space="preserve">he LSE ZEC Compliance Summary will inform LSEs of any true-ups necessary once final load data is available. </w:t>
      </w:r>
    </w:p>
    <w:p w14:paraId="0BC88410" w14:textId="77777777" w:rsidR="00773E07" w:rsidRDefault="00773E07" w:rsidP="00773E07">
      <w:pPr>
        <w:pStyle w:val="Heading1"/>
      </w:pPr>
      <w:r>
        <w:t>Demonstrating RES Compliance</w:t>
      </w:r>
    </w:p>
    <w:p w14:paraId="267F1A2E" w14:textId="69286F90" w:rsidR="00773E07" w:rsidRDefault="009C1B09" w:rsidP="00773E07">
      <w:pPr>
        <w:pStyle w:val="Heading2"/>
      </w:pPr>
      <w:r>
        <w:t xml:space="preserve">LSE </w:t>
      </w:r>
      <w:r w:rsidR="00773E07">
        <w:t xml:space="preserve">Preliminary </w:t>
      </w:r>
      <w:r>
        <w:t xml:space="preserve">RES </w:t>
      </w:r>
      <w:r w:rsidR="00773E07">
        <w:t xml:space="preserve">Compliance </w:t>
      </w:r>
      <w:r>
        <w:t>Report</w:t>
      </w:r>
    </w:p>
    <w:p w14:paraId="751C0B4F" w14:textId="6934E381" w:rsidR="00773E07" w:rsidRDefault="00773E07" w:rsidP="00773E07">
      <w:r>
        <w:t>Once the load data is available</w:t>
      </w:r>
      <w:r w:rsidR="004F31A7">
        <w:t xml:space="preserve"> in NYGATS</w:t>
      </w:r>
      <w:r w:rsidR="009C3026">
        <w:t xml:space="preserve"> in May</w:t>
      </w:r>
      <w:r>
        <w:t xml:space="preserve">, LSEs’ final </w:t>
      </w:r>
      <w:r w:rsidR="008653E5">
        <w:t xml:space="preserve">Tier 1 </w:t>
      </w:r>
      <w:r>
        <w:t>REC obligations for the</w:t>
      </w:r>
      <w:r w:rsidR="008F1EEE">
        <w:t xml:space="preserve"> applicable </w:t>
      </w:r>
      <w:r>
        <w:t xml:space="preserve">year will be calculated. At this point, LSEs will receive an email </w:t>
      </w:r>
      <w:r w:rsidR="00053723">
        <w:t xml:space="preserve">from </w:t>
      </w:r>
      <w:r w:rsidR="00964B9C">
        <w:t>NYSERDA</w:t>
      </w:r>
      <w:r w:rsidR="004F31A7">
        <w:t xml:space="preserve"> </w:t>
      </w:r>
      <w:r>
        <w:t>notifying them this information is available in NYGATS</w:t>
      </w:r>
      <w:r w:rsidR="00D15B3B">
        <w:t xml:space="preserve"> and presented in </w:t>
      </w:r>
      <w:r w:rsidR="009C1B09">
        <w:t>the</w:t>
      </w:r>
      <w:r w:rsidR="00D15B3B">
        <w:t xml:space="preserve"> </w:t>
      </w:r>
      <w:r w:rsidR="009C1B09">
        <w:t xml:space="preserve">LSE </w:t>
      </w:r>
      <w:r w:rsidR="00D15B3B">
        <w:t xml:space="preserve">Preliminary </w:t>
      </w:r>
      <w:r w:rsidR="009C1B09">
        <w:t xml:space="preserve">RES </w:t>
      </w:r>
      <w:r w:rsidR="00D15B3B">
        <w:t>Compliance</w:t>
      </w:r>
      <w:r w:rsidR="009C1B09">
        <w:t xml:space="preserve"> Report</w:t>
      </w:r>
      <w:r w:rsidR="00D15B3B">
        <w:t xml:space="preserve">. </w:t>
      </w:r>
    </w:p>
    <w:p w14:paraId="4FEAC32B" w14:textId="307A2885" w:rsidR="00D15B3B" w:rsidRDefault="00D15B3B" w:rsidP="00773E07">
      <w:r>
        <w:t xml:space="preserve">The </w:t>
      </w:r>
      <w:r w:rsidR="009C1B09">
        <w:t xml:space="preserve">LSE </w:t>
      </w:r>
      <w:r>
        <w:t xml:space="preserve">Preliminary </w:t>
      </w:r>
      <w:r w:rsidR="009C1B09">
        <w:t xml:space="preserve">RES </w:t>
      </w:r>
      <w:r w:rsidR="007675D1">
        <w:t>Compliance Report</w:t>
      </w:r>
      <w:r w:rsidR="009C1B09">
        <w:t xml:space="preserve">, as described above, </w:t>
      </w:r>
      <w:r>
        <w:t xml:space="preserve">provides data on load, RES obligation, </w:t>
      </w:r>
      <w:r w:rsidR="00D15DFA">
        <w:t xml:space="preserve">and </w:t>
      </w:r>
      <w:r>
        <w:t xml:space="preserve">current </w:t>
      </w:r>
      <w:r w:rsidR="008653E5">
        <w:t xml:space="preserve">Tier 1 </w:t>
      </w:r>
      <w:r>
        <w:t>REC disposition (including bank balances)</w:t>
      </w:r>
      <w:r w:rsidR="00964B9C">
        <w:t>.</w:t>
      </w:r>
      <w:r>
        <w:t xml:space="preserve"> LSEs can </w:t>
      </w:r>
      <w:r w:rsidR="009C1B09">
        <w:t xml:space="preserve">use the Preliminary Report to </w:t>
      </w:r>
      <w:r>
        <w:t xml:space="preserve">understand their compliance status if they take no other </w:t>
      </w:r>
      <w:r w:rsidR="006E1CFB">
        <w:t>action and</w:t>
      </w:r>
      <w:r>
        <w:t xml:space="preserve"> understand what actions</w:t>
      </w:r>
      <w:r w:rsidR="00D15DFA">
        <w:t xml:space="preserve"> – including the provision of Alternative Compliance Payments – are </w:t>
      </w:r>
      <w:r>
        <w:t xml:space="preserve">necessary to </w:t>
      </w:r>
      <w:r w:rsidR="00B77AA4">
        <w:t>comply</w:t>
      </w:r>
      <w:r w:rsidR="000B7F26">
        <w:t xml:space="preserve">. </w:t>
      </w:r>
    </w:p>
    <w:p w14:paraId="3404F850" w14:textId="77777777" w:rsidR="008D5A85" w:rsidRDefault="008D5A85" w:rsidP="008D5A85">
      <w:pPr>
        <w:pStyle w:val="Heading2"/>
      </w:pPr>
      <w:r>
        <w:t xml:space="preserve">LSE Responsibility to Review </w:t>
      </w:r>
      <w:r w:rsidR="00293B13">
        <w:t xml:space="preserve">Preliminary </w:t>
      </w:r>
      <w:r>
        <w:t>Compliance Filing Data</w:t>
      </w:r>
    </w:p>
    <w:p w14:paraId="3DB6DF3E" w14:textId="3EBA2226" w:rsidR="00D15B3B" w:rsidRPr="00D15B3B" w:rsidRDefault="00D15B3B" w:rsidP="00773E07">
      <w:r>
        <w:t xml:space="preserve">LSEs must review the </w:t>
      </w:r>
      <w:r w:rsidR="00D616D3">
        <w:t xml:space="preserve">LSE </w:t>
      </w:r>
      <w:r w:rsidR="00E83854">
        <w:t>P</w:t>
      </w:r>
      <w:r>
        <w:t xml:space="preserve">reliminary </w:t>
      </w:r>
      <w:r w:rsidR="00D616D3">
        <w:t xml:space="preserve">RES </w:t>
      </w:r>
      <w:r w:rsidR="00E83854">
        <w:t xml:space="preserve">Compliance </w:t>
      </w:r>
      <w:r w:rsidR="00D616D3">
        <w:t xml:space="preserve">Report </w:t>
      </w:r>
      <w:r w:rsidR="00B77AA4">
        <w:t>to ensure that all</w:t>
      </w:r>
      <w:r>
        <w:t xml:space="preserve"> information is accurate. LSEs are strongly encouraged to conduct this review </w:t>
      </w:r>
      <w:r w:rsidRPr="00D15B3B">
        <w:rPr>
          <w:b/>
        </w:rPr>
        <w:t xml:space="preserve">as soon as </w:t>
      </w:r>
      <w:r w:rsidRPr="00B77AA4">
        <w:rPr>
          <w:b/>
        </w:rPr>
        <w:t>possible</w:t>
      </w:r>
      <w:r w:rsidR="00B77AA4" w:rsidRPr="00B77AA4">
        <w:rPr>
          <w:b/>
        </w:rPr>
        <w:t xml:space="preserve"> after the data are available</w:t>
      </w:r>
      <w:r w:rsidRPr="00B77AA4">
        <w:t>.</w:t>
      </w:r>
      <w:r>
        <w:t xml:space="preserve"> If the LSE finds any piece of the </w:t>
      </w:r>
      <w:r w:rsidR="00BE2867" w:rsidRPr="00BE2867">
        <w:t>LSE Preliminary RES Compliance Report</w:t>
      </w:r>
      <w:r>
        <w:t xml:space="preserve"> is </w:t>
      </w:r>
      <w:r>
        <w:rPr>
          <w:i/>
        </w:rPr>
        <w:t>not</w:t>
      </w:r>
      <w:r>
        <w:t xml:space="preserve"> accurate, it must send an email to the NYGATS administrator detailing the discrepancy. </w:t>
      </w:r>
      <w:r w:rsidR="00294B4B">
        <w:t xml:space="preserve">The LSE must send the discrepancy email at least two </w:t>
      </w:r>
      <w:r w:rsidR="00735BA8">
        <w:t>week</w:t>
      </w:r>
      <w:r w:rsidR="00D15DFA">
        <w:t>s</w:t>
      </w:r>
      <w:r w:rsidR="00294B4B">
        <w:t xml:space="preserve"> before the end of the trading period</w:t>
      </w:r>
      <w:r w:rsidR="000B45BA">
        <w:t>.</w:t>
      </w:r>
      <w:r w:rsidR="00F0271E">
        <w:t xml:space="preserve"> LSEs </w:t>
      </w:r>
      <w:r w:rsidR="0009133D">
        <w:t>must</w:t>
      </w:r>
      <w:r w:rsidR="00F0271E">
        <w:t xml:space="preserve"> send the request early enough to ensure </w:t>
      </w:r>
      <w:r w:rsidR="00294B4B">
        <w:t xml:space="preserve">the </w:t>
      </w:r>
      <w:r w:rsidR="00F0271E">
        <w:t>claim is reviewed well</w:t>
      </w:r>
      <w:r w:rsidR="00294B4B">
        <w:t xml:space="preserve"> </w:t>
      </w:r>
      <w:r w:rsidR="00F0271E">
        <w:t>before the trading period</w:t>
      </w:r>
      <w:r w:rsidR="00294B4B">
        <w:t xml:space="preserve"> </w:t>
      </w:r>
      <w:r w:rsidR="00F0271E">
        <w:t xml:space="preserve">closes so that </w:t>
      </w:r>
      <w:r w:rsidR="000B45BA">
        <w:t xml:space="preserve">in the case the LSE needs to obtain additional Tier 1 RECs to meet its obligation, it </w:t>
      </w:r>
      <w:proofErr w:type="gramStart"/>
      <w:r w:rsidR="000B45BA">
        <w:t>has the opportunity to</w:t>
      </w:r>
      <w:proofErr w:type="gramEnd"/>
      <w:r w:rsidR="000B45BA">
        <w:t xml:space="preserve"> do so.</w:t>
      </w:r>
    </w:p>
    <w:p w14:paraId="2B9F209F" w14:textId="472F3E6C" w:rsidR="00D15B3B" w:rsidRDefault="003F67F6" w:rsidP="008D5A85">
      <w:pPr>
        <w:pStyle w:val="Heading2"/>
      </w:pPr>
      <w:r>
        <w:lastRenderedPageBreak/>
        <w:t>Reporting discrepancies in</w:t>
      </w:r>
      <w:r w:rsidR="003B12D8">
        <w:t xml:space="preserve"> </w:t>
      </w:r>
      <w:proofErr w:type="gramStart"/>
      <w:r w:rsidR="003B12D8">
        <w:t>a</w:t>
      </w:r>
      <w:proofErr w:type="gramEnd"/>
      <w:r w:rsidR="003B12D8">
        <w:t xml:space="preserve"> </w:t>
      </w:r>
      <w:r w:rsidR="00BE2867" w:rsidRPr="00BE2867">
        <w:t>LSE Preliminary RES Compliance Report</w:t>
      </w:r>
    </w:p>
    <w:p w14:paraId="12B33819" w14:textId="759684F5" w:rsidR="003B12D8" w:rsidRPr="006A5A85" w:rsidRDefault="00F132A5" w:rsidP="003B12D8">
      <w:r>
        <w:t xml:space="preserve">NYGATS, and if necessary </w:t>
      </w:r>
      <w:r w:rsidR="003B12D8">
        <w:t xml:space="preserve">NYSERDA </w:t>
      </w:r>
      <w:r>
        <w:t xml:space="preserve">program staff, will review claims </w:t>
      </w:r>
      <w:r w:rsidR="003F67F6">
        <w:t>of discrepancies reported by</w:t>
      </w:r>
      <w:r>
        <w:t xml:space="preserve"> LSEs regarding the accounting of their Tier 1 RECs</w:t>
      </w:r>
      <w:r w:rsidR="00D540F0">
        <w:t xml:space="preserve">. The types of claims that may be possible to resolve include: Tier 1 certificates have been deposited into the incorrect subaccount by human or system error; </w:t>
      </w:r>
      <w:r w:rsidR="00552B46" w:rsidRPr="00552B46">
        <w:t xml:space="preserve">Tier 1 RECs have been deposited in an EDP subaccount but </w:t>
      </w:r>
      <w:r w:rsidR="00552B46" w:rsidRPr="006A5A85">
        <w:t xml:space="preserve">marked for the wrong reason; </w:t>
      </w:r>
      <w:r w:rsidR="00D540F0" w:rsidRPr="006A5A85">
        <w:t xml:space="preserve">certificates in an LSEs account </w:t>
      </w:r>
      <w:r w:rsidR="00552B46" w:rsidRPr="006A5A85">
        <w:t xml:space="preserve">that are Tier 1 eligible have not been marked as such; certificates were settled improperly at the end of the last trading period; or other similar account balance issues that the LSE cannot address on its own. </w:t>
      </w:r>
      <w:r w:rsidR="00075FF6" w:rsidRPr="006A5A85">
        <w:t>D</w:t>
      </w:r>
      <w:r w:rsidR="003F67F6" w:rsidRPr="006A5A85">
        <w:t xml:space="preserve">iscrepancies </w:t>
      </w:r>
      <w:r w:rsidR="00F01F4B" w:rsidRPr="006A5A85">
        <w:t xml:space="preserve">of final load </w:t>
      </w:r>
      <w:r w:rsidR="00075FF6" w:rsidRPr="006A5A85">
        <w:t xml:space="preserve">data provided to NYGATS by NYISO will be addressed using established data protocols </w:t>
      </w:r>
      <w:r w:rsidR="00B4514A">
        <w:t xml:space="preserve">as described in the NYGATS </w:t>
      </w:r>
      <w:hyperlink r:id="rId26" w:history="1">
        <w:r w:rsidR="00B4514A" w:rsidRPr="00B4514A">
          <w:rPr>
            <w:rStyle w:val="Hyperlink"/>
          </w:rPr>
          <w:t>Operating Rules</w:t>
        </w:r>
      </w:hyperlink>
      <w:r w:rsidR="00B4514A">
        <w:t xml:space="preserve"> </w:t>
      </w:r>
      <w:r w:rsidR="003C1D93" w:rsidRPr="006A5A85">
        <w:t>and</w:t>
      </w:r>
      <w:r w:rsidR="00075FF6" w:rsidRPr="006A5A85">
        <w:t xml:space="preserve"> are outside of the process described here</w:t>
      </w:r>
      <w:r w:rsidR="000B7F26">
        <w:t xml:space="preserve">. </w:t>
      </w:r>
    </w:p>
    <w:p w14:paraId="007BE3BD" w14:textId="77777777" w:rsidR="003B12D8" w:rsidRPr="006A5A85" w:rsidRDefault="00F01F4B" w:rsidP="003B12D8">
      <w:r w:rsidRPr="006A5A85">
        <w:t>NYSERDA cannot resolve disputes over REC contracts or other bilateral agreements between LSEs and other third parties.</w:t>
      </w:r>
      <w:r w:rsidR="001F2571" w:rsidRPr="006A5A85">
        <w:t xml:space="preserve"> NYSERDA </w:t>
      </w:r>
      <w:r w:rsidR="00320F08" w:rsidRPr="006A5A85">
        <w:t xml:space="preserve">cannot </w:t>
      </w:r>
      <w:r w:rsidR="001F2571" w:rsidRPr="006A5A85">
        <w:t xml:space="preserve">waive the requirement that RECs used for RES compliance must be generated by a Tier 1-certified facility. It is the LSE’s responsibility to </w:t>
      </w:r>
      <w:r w:rsidR="00320F08" w:rsidRPr="006A5A85">
        <w:t xml:space="preserve">ensure that it fully understands the requirements under the CES, as well as the terms and products included with any purchases of certificates it makes from third parties. </w:t>
      </w:r>
    </w:p>
    <w:p w14:paraId="2BDC762B" w14:textId="0819066B" w:rsidR="003408AE" w:rsidRDefault="003408AE" w:rsidP="003B12D8">
      <w:r w:rsidRPr="006A5A85">
        <w:t>If an LSE wishes to conte</w:t>
      </w:r>
      <w:r w:rsidR="00917781" w:rsidRPr="006A5A85">
        <w:t>st</w:t>
      </w:r>
      <w:r w:rsidRPr="006A5A85">
        <w:t xml:space="preserve"> any element of the </w:t>
      </w:r>
      <w:r w:rsidR="00BE2867" w:rsidRPr="00BE2867">
        <w:t>LSE Preliminary RES Compliance Report</w:t>
      </w:r>
      <w:r w:rsidRPr="006A5A85">
        <w:t xml:space="preserve">, it should send </w:t>
      </w:r>
      <w:r w:rsidR="003F67F6" w:rsidRPr="006A5A85">
        <w:t xml:space="preserve">a Discrepancy Report via </w:t>
      </w:r>
      <w:r w:rsidRPr="006A5A85">
        <w:t xml:space="preserve">email to </w:t>
      </w:r>
      <w:hyperlink r:id="rId27" w:history="1">
        <w:r w:rsidR="00075FF6" w:rsidRPr="006A5A85">
          <w:rPr>
            <w:rStyle w:val="Hyperlink"/>
          </w:rPr>
          <w:t>NYGATS@apx.com</w:t>
        </w:r>
      </w:hyperlink>
      <w:r w:rsidR="00075FF6" w:rsidRPr="006A5A85">
        <w:t xml:space="preserve"> </w:t>
      </w:r>
      <w:r w:rsidRPr="006A5A85">
        <w:t>with the following information:</w:t>
      </w:r>
    </w:p>
    <w:p w14:paraId="43AE256A" w14:textId="77777777" w:rsidR="003F67F6" w:rsidRDefault="003F67F6" w:rsidP="003F67F6">
      <w:pPr>
        <w:pStyle w:val="ListParagraph"/>
        <w:numPr>
          <w:ilvl w:val="0"/>
          <w:numId w:val="6"/>
        </w:numPr>
      </w:pPr>
      <w:r>
        <w:t>Certificate status (e.g. settled, unsettled, reserved)</w:t>
      </w:r>
    </w:p>
    <w:p w14:paraId="0ADE3807" w14:textId="77777777" w:rsidR="003F67F6" w:rsidRDefault="003F67F6" w:rsidP="003F67F6">
      <w:pPr>
        <w:pStyle w:val="ListParagraph"/>
        <w:numPr>
          <w:ilvl w:val="0"/>
          <w:numId w:val="6"/>
        </w:numPr>
      </w:pPr>
      <w:r>
        <w:t>Vintage</w:t>
      </w:r>
    </w:p>
    <w:p w14:paraId="0A181E8B" w14:textId="77777777" w:rsidR="003F67F6" w:rsidRDefault="003F67F6" w:rsidP="003F67F6">
      <w:pPr>
        <w:pStyle w:val="ListParagraph"/>
        <w:numPr>
          <w:ilvl w:val="0"/>
          <w:numId w:val="6"/>
        </w:numPr>
      </w:pPr>
      <w:r>
        <w:t>Origin (NY, imported)</w:t>
      </w:r>
    </w:p>
    <w:p w14:paraId="5A585E3C" w14:textId="77777777" w:rsidR="003F67F6" w:rsidRDefault="003F67F6" w:rsidP="003F67F6">
      <w:pPr>
        <w:pStyle w:val="ListParagraph"/>
        <w:numPr>
          <w:ilvl w:val="0"/>
          <w:numId w:val="6"/>
        </w:numPr>
      </w:pPr>
      <w:r>
        <w:t>Fuel/Resource Type</w:t>
      </w:r>
    </w:p>
    <w:p w14:paraId="0B24164A" w14:textId="77777777" w:rsidR="003F67F6" w:rsidRDefault="003F67F6" w:rsidP="003F67F6">
      <w:pPr>
        <w:pStyle w:val="ListParagraph"/>
        <w:numPr>
          <w:ilvl w:val="0"/>
          <w:numId w:val="6"/>
        </w:numPr>
      </w:pPr>
      <w:r>
        <w:t>Quantity</w:t>
      </w:r>
    </w:p>
    <w:p w14:paraId="0277DD58" w14:textId="77777777" w:rsidR="003F67F6" w:rsidRDefault="003F67F6" w:rsidP="003F67F6">
      <w:pPr>
        <w:pStyle w:val="ListParagraph"/>
        <w:numPr>
          <w:ilvl w:val="0"/>
          <w:numId w:val="6"/>
        </w:numPr>
      </w:pPr>
      <w:r>
        <w:t>Either:</w:t>
      </w:r>
    </w:p>
    <w:p w14:paraId="4B731EE2" w14:textId="77777777" w:rsidR="003F67F6" w:rsidRDefault="003F67F6" w:rsidP="003F67F6">
      <w:pPr>
        <w:pStyle w:val="ListParagraph"/>
        <w:numPr>
          <w:ilvl w:val="1"/>
          <w:numId w:val="6"/>
        </w:numPr>
      </w:pPr>
      <w:r>
        <w:t>Supporting documentation from NYGATS reports, or</w:t>
      </w:r>
    </w:p>
    <w:p w14:paraId="1A749A80" w14:textId="77777777" w:rsidR="003F67F6" w:rsidRDefault="003F67F6" w:rsidP="003F67F6">
      <w:pPr>
        <w:pStyle w:val="ListParagraph"/>
        <w:numPr>
          <w:ilvl w:val="1"/>
          <w:numId w:val="6"/>
        </w:numPr>
      </w:pPr>
      <w:r>
        <w:t>3</w:t>
      </w:r>
      <w:r w:rsidRPr="72027E13">
        <w:rPr>
          <w:vertAlign w:val="superscript"/>
        </w:rPr>
        <w:t>rd</w:t>
      </w:r>
      <w:r>
        <w:t xml:space="preserve"> party verification of incorrectly settled certificates</w:t>
      </w:r>
    </w:p>
    <w:p w14:paraId="0657D52E" w14:textId="77777777" w:rsidR="003F67F6" w:rsidRDefault="003F67F6" w:rsidP="003F67F6">
      <w:pPr>
        <w:pStyle w:val="ListParagraph"/>
        <w:numPr>
          <w:ilvl w:val="0"/>
          <w:numId w:val="6"/>
        </w:numPr>
      </w:pPr>
      <w:r>
        <w:t>Narrative description explaining the source of error resulting in incorrectly settled RECs, or RECs with incorrect eligibility coding, along with a description of efforts to correct error(s) in NYGATS</w:t>
      </w:r>
    </w:p>
    <w:p w14:paraId="7299ED6C" w14:textId="77777777" w:rsidR="003F67F6" w:rsidRDefault="003F67F6" w:rsidP="003F67F6">
      <w:pPr>
        <w:pStyle w:val="ListParagraph"/>
        <w:numPr>
          <w:ilvl w:val="0"/>
          <w:numId w:val="6"/>
        </w:numPr>
      </w:pPr>
      <w:r>
        <w:t>Attestation by the Authorized Representative that certificates cannot and will not be used, sold, deposited, r</w:t>
      </w:r>
      <w:r w:rsidRPr="00323F8B">
        <w:t>etired</w:t>
      </w:r>
      <w:r>
        <w:t>, or claimed elsewhere</w:t>
      </w:r>
    </w:p>
    <w:p w14:paraId="16362C6B" w14:textId="6EBF0D6B" w:rsidR="00415CC9" w:rsidRDefault="00A907B3" w:rsidP="003B12D8">
      <w:r>
        <w:t>The NYGATS Administrator will review the LSE’s claim and request. If the</w:t>
      </w:r>
      <w:r w:rsidR="00415CC9">
        <w:t xml:space="preserve"> NYGATS Administrator finds the claim is legitimate and sufficiently documented, and the </w:t>
      </w:r>
      <w:r>
        <w:t>remedy can be implemented through an administr</w:t>
      </w:r>
      <w:r w:rsidR="00415CC9">
        <w:t xml:space="preserve">ative action in NYGATS, the NYGATS administrator will </w:t>
      </w:r>
      <w:r w:rsidR="008B288E">
        <w:t xml:space="preserve">make the requested adjustment. </w:t>
      </w:r>
      <w:r w:rsidR="00415CC9">
        <w:t>If the claim is within its authority but the Administrator finds that it is not valid or properly documented, the NYGATS Administrator will notify the LSE that its claim was rejected, and the LSE must obtain the number of Tier 1 RECs or make ACPs as indicated on its</w:t>
      </w:r>
      <w:r w:rsidR="008B288E">
        <w:t xml:space="preserve"> </w:t>
      </w:r>
      <w:r w:rsidR="00BE2867" w:rsidRPr="00BE2867">
        <w:t>LSE Preliminary RES Compliance Report</w:t>
      </w:r>
      <w:r w:rsidR="008B288E">
        <w:t>.</w:t>
      </w:r>
    </w:p>
    <w:p w14:paraId="3752B2CE" w14:textId="19370094" w:rsidR="00A907B3" w:rsidRDefault="00415CC9" w:rsidP="003B12D8">
      <w:r>
        <w:t xml:space="preserve">If the claim is beyond the NYGATS Administrator’s authority, it will send the request to NYSERDA, who will review the claim and determine if any corrective action is appropriate. If NYSERDA finds the claim legitimate and sufficiently documented, it will instruct the NYGATS Administrator to make the required adjustment in the LSE’s account. If NYSERDA finds that the claim is not valid or properly documented, NYSERDA will notify the LSE that the claim was rejected, and the LSE must obtain the number of Tier 1 RECs or make ACPs as indicated on its </w:t>
      </w:r>
      <w:r w:rsidR="00BE2867" w:rsidRPr="00BE2867">
        <w:t>LSE Preliminary RES Compliance Report</w:t>
      </w:r>
      <w:r>
        <w:t xml:space="preserve">. </w:t>
      </w:r>
    </w:p>
    <w:p w14:paraId="53C85DC6" w14:textId="42B0437F" w:rsidR="00964B9C" w:rsidRDefault="00964B9C" w:rsidP="00CA5CA2">
      <w:pPr>
        <w:pStyle w:val="Heading2"/>
      </w:pPr>
      <w:r>
        <w:lastRenderedPageBreak/>
        <w:t>Alternative Compliance Payments</w:t>
      </w:r>
    </w:p>
    <w:p w14:paraId="7F1A28CA" w14:textId="69BFB086" w:rsidR="00964B9C" w:rsidRPr="00964B9C" w:rsidRDefault="00964B9C" w:rsidP="00964B9C">
      <w:r>
        <w:t>The NYGATS trading period closes on June 30 at 11:59 PM Eastern prevailing time</w:t>
      </w:r>
      <w:r w:rsidR="00CA5CA2">
        <w:t>.</w:t>
      </w:r>
      <w:r>
        <w:t xml:space="preserve"> After this point, LSEs may not obtain additional Tier 1 RECs to meet their compliance obligation, and any shortfall towards their obligation must be met with ACPs. For any LSEs that do not have their full Tier 1 REC obligation deposited in its EDP subaccount for RES compliance, NYSERDA will issue LSEs a final invoice for ACPs. </w:t>
      </w:r>
      <w:r w:rsidRPr="00BC1D84">
        <w:t>Invoices will contain</w:t>
      </w:r>
      <w:r w:rsidR="00B360D9" w:rsidRPr="00BC1D84">
        <w:t xml:space="preserve"> the number of RECs the LSE is short of its compliance obligation, the resulting ACP due, and</w:t>
      </w:r>
      <w:r w:rsidRPr="00BC1D84">
        <w:t xml:space="preserve"> instructions for making payments to NYSERDA. </w:t>
      </w:r>
      <w:r w:rsidR="00B360D9" w:rsidRPr="00BC1D84">
        <w:t xml:space="preserve">LSEs should receive invoices </w:t>
      </w:r>
      <w:r w:rsidR="00E83854">
        <w:t>in</w:t>
      </w:r>
      <w:r w:rsidR="00B360D9" w:rsidRPr="00BC1D84">
        <w:t xml:space="preserve"> mid-July, and </w:t>
      </w:r>
      <w:r w:rsidRPr="00BC1D84">
        <w:t>ACPs are due within 30 days of the date the invoi</w:t>
      </w:r>
      <w:r w:rsidR="00B360D9" w:rsidRPr="00BC1D84">
        <w:t>ce is sent. NYGATS will be updated when NYSERDA receives the payment.</w:t>
      </w:r>
      <w:r w:rsidR="00B360D9">
        <w:t xml:space="preserve"> </w:t>
      </w:r>
    </w:p>
    <w:p w14:paraId="7AA24992" w14:textId="44614E2E" w:rsidR="00A907B3" w:rsidRDefault="00DB71DF" w:rsidP="00196001">
      <w:pPr>
        <w:pStyle w:val="Heading2"/>
      </w:pPr>
      <w:r>
        <w:t>Final</w:t>
      </w:r>
      <w:r w:rsidR="00CD2793">
        <w:t xml:space="preserve"> </w:t>
      </w:r>
      <w:r w:rsidR="00BE2867">
        <w:t xml:space="preserve">RES </w:t>
      </w:r>
      <w:r>
        <w:t xml:space="preserve">Compliance </w:t>
      </w:r>
      <w:r w:rsidR="00BE2867">
        <w:t xml:space="preserve">Report </w:t>
      </w:r>
    </w:p>
    <w:p w14:paraId="050CF9CF" w14:textId="27664D3D" w:rsidR="00DD1A4A" w:rsidRDefault="00C354F2" w:rsidP="00F96C44">
      <w:r>
        <w:t>NYSERDA will notify a</w:t>
      </w:r>
      <w:r w:rsidR="00196001">
        <w:t xml:space="preserve">ll LSEs that the </w:t>
      </w:r>
      <w:r w:rsidR="00E83854">
        <w:t xml:space="preserve">Final </w:t>
      </w:r>
      <w:r w:rsidR="00196001">
        <w:t xml:space="preserve">LSE RES Compliance </w:t>
      </w:r>
      <w:r w:rsidR="007813F6">
        <w:t xml:space="preserve">Report </w:t>
      </w:r>
      <w:r w:rsidR="00196001">
        <w:t xml:space="preserve">is available in NYGATS. LSEs must review the filing to check for its accuracy and to confirm that the </w:t>
      </w:r>
      <w:r w:rsidR="00831774">
        <w:t xml:space="preserve">LSE is fully aware of its compliance status. The LSE must submit the </w:t>
      </w:r>
      <w:r w:rsidR="00695267">
        <w:t>F</w:t>
      </w:r>
      <w:r w:rsidR="00831774">
        <w:t xml:space="preserve">inal </w:t>
      </w:r>
      <w:r w:rsidR="00C052D5">
        <w:t xml:space="preserve">RES </w:t>
      </w:r>
      <w:r w:rsidR="00695267">
        <w:t>C</w:t>
      </w:r>
      <w:r w:rsidR="00831774">
        <w:t xml:space="preserve">ompliance </w:t>
      </w:r>
      <w:r w:rsidR="007813F6">
        <w:t xml:space="preserve">Report </w:t>
      </w:r>
      <w:r w:rsidR="00831774">
        <w:t>by clicking on either an “Accept” button and attesting that the person submitting the filing is authorized to do so, or by clicking “</w:t>
      </w:r>
      <w:r w:rsidR="00061AB4">
        <w:t>Dispute</w:t>
      </w:r>
      <w:r w:rsidR="00831774">
        <w:t xml:space="preserve">”. </w:t>
      </w:r>
    </w:p>
    <w:p w14:paraId="22CC2B0F" w14:textId="65965459" w:rsidR="00DD1A4A" w:rsidRDefault="00DD1A4A" w:rsidP="00F96C44">
      <w:r>
        <w:t>If the LSE did not have to make ACPs, the LSE will select “Accept” by August 31 and it has completed all necessary requirements and will be deemed in compliance.</w:t>
      </w:r>
    </w:p>
    <w:p w14:paraId="2C9BB97F" w14:textId="47BC6DC6" w:rsidR="00DD1A4A" w:rsidRDefault="00831774" w:rsidP="00F96C44">
      <w:r>
        <w:t xml:space="preserve">If the LSE </w:t>
      </w:r>
      <w:r w:rsidR="00DD1A4A">
        <w:t xml:space="preserve">has paid </w:t>
      </w:r>
      <w:r w:rsidR="00331CEE">
        <w:t>NYSERDA the full amount due in ACPs</w:t>
      </w:r>
      <w:r w:rsidR="00DD1A4A">
        <w:t xml:space="preserve">, the LSE will select “Accept” by August 31 and </w:t>
      </w:r>
      <w:r>
        <w:t xml:space="preserve">it has completed all necessary requirements and will be deemed in compliance. </w:t>
      </w:r>
    </w:p>
    <w:p w14:paraId="0F36DDA5" w14:textId="1CD5C499" w:rsidR="00537995" w:rsidRDefault="001F2571" w:rsidP="00D65D74">
      <w:r>
        <w:t>If the LSE selects “D</w:t>
      </w:r>
      <w:r w:rsidR="00061AB4">
        <w:t>ispute</w:t>
      </w:r>
      <w:r>
        <w:t xml:space="preserve">,” </w:t>
      </w:r>
      <w:r w:rsidR="00061AB4">
        <w:t>NYSERDA will receive notification and contact the LSE</w:t>
      </w:r>
      <w:r w:rsidR="000B7F26">
        <w:t xml:space="preserve">. </w:t>
      </w:r>
      <w:r w:rsidR="00D65D74">
        <w:t xml:space="preserve">All information supporting a discrepancy case must have been provided during the </w:t>
      </w:r>
      <w:r w:rsidR="00A75045">
        <w:t>Preliminary</w:t>
      </w:r>
      <w:r w:rsidR="00D65D74">
        <w:t xml:space="preserve"> </w:t>
      </w:r>
      <w:r w:rsidR="00A75045">
        <w:t>C</w:t>
      </w:r>
      <w:r w:rsidR="00D65D74">
        <w:t xml:space="preserve">ompliance </w:t>
      </w:r>
      <w:r w:rsidR="007813F6">
        <w:t xml:space="preserve">Report </w:t>
      </w:r>
      <w:r w:rsidR="00D65D74">
        <w:t>phase</w:t>
      </w:r>
      <w:r w:rsidR="000B7F26">
        <w:t xml:space="preserve">. </w:t>
      </w:r>
      <w:proofErr w:type="gramStart"/>
      <w:r w:rsidR="00D65D74">
        <w:t>In order to</w:t>
      </w:r>
      <w:proofErr w:type="gramEnd"/>
      <w:r w:rsidR="00D65D74">
        <w:t xml:space="preserve"> minimize the need for discrepancy reporting and the instances of LSEs electing “D</w:t>
      </w:r>
      <w:r w:rsidR="00061AB4">
        <w:t>ispute”</w:t>
      </w:r>
      <w:r w:rsidR="00D65D74">
        <w:t>, it is important for all LSEs to review and understand not only NYGATS functionality and the LSE reporting obligations, but also Tier 1 generator certification requirements, so that the LSE can ensure all RECs purchased will count towards RES compliance obligations</w:t>
      </w:r>
      <w:r w:rsidR="000B7F26">
        <w:t xml:space="preserve">. </w:t>
      </w:r>
      <w:r w:rsidR="00D65D74">
        <w:t xml:space="preserve">More information on generator certification and compliance process flows can be found on the </w:t>
      </w:r>
      <w:hyperlink r:id="rId28" w:history="1">
        <w:r w:rsidR="00D65D74" w:rsidRPr="00D65D74">
          <w:rPr>
            <w:rStyle w:val="Hyperlink"/>
          </w:rPr>
          <w:t>NY CES website</w:t>
        </w:r>
      </w:hyperlink>
      <w:r w:rsidR="00D65D74">
        <w:t>.</w:t>
      </w:r>
    </w:p>
    <w:p w14:paraId="46E1AA5B" w14:textId="77777777" w:rsidR="001F2571" w:rsidRDefault="003F67F6" w:rsidP="00F96C44">
      <w:r>
        <w:t>The outcome of the Discrepancy Report process depends on the timing and nature of the request</w:t>
      </w:r>
      <w:r w:rsidR="00C354F2">
        <w:t>; as well as LSEs’ efforts to resolve the discrepancy prior to the close of the trading period</w:t>
      </w:r>
      <w:r>
        <w:t>.</w:t>
      </w:r>
      <w:r w:rsidR="000E28FC">
        <w:t xml:space="preserve"> </w:t>
      </w:r>
      <w:r w:rsidR="00F04041">
        <w:t xml:space="preserve">The NYGATS Administrator will resolve any valid claims within its authority, and </w:t>
      </w:r>
      <w:r w:rsidR="007844C7">
        <w:t xml:space="preserve">direct claims it is not able to resolve to NYSERDA. NYSERDA will respond to the LSE noting if it is able to resolve the dispute, and if not, what further action is required. In some cases, DPS approval will be necessary. </w:t>
      </w:r>
    </w:p>
    <w:p w14:paraId="5A512D5D" w14:textId="77777777" w:rsidR="00CE4873" w:rsidRDefault="00CE4873" w:rsidP="00CE4873">
      <w:pPr>
        <w:pStyle w:val="Heading1"/>
      </w:pPr>
      <w:r>
        <w:t>CES Compliance Reporting Timelines</w:t>
      </w:r>
    </w:p>
    <w:p w14:paraId="2EB7D6B9" w14:textId="6A9287AE" w:rsidR="00CE4873" w:rsidRPr="00B1064E" w:rsidRDefault="00CE4873" w:rsidP="00CE4873">
      <w:r>
        <w:t>Table 1</w:t>
      </w:r>
      <w:r w:rsidR="00D65D74">
        <w:t xml:space="preserve"> outlines the LSE compliance reporting timeline</w:t>
      </w:r>
      <w:r w:rsidR="00A75045">
        <w:t xml:space="preserve">s for both </w:t>
      </w:r>
      <w:r w:rsidR="00DD1A4A">
        <w:t xml:space="preserve">LSE RES Compliance Reporting and LSE ZEC Compliance Reporting.  </w:t>
      </w:r>
      <w:r w:rsidR="00D65D74">
        <w:t>It is important for all LSEs to review their compliance status in NYGATS and make any necessary adjustments once load data is available</w:t>
      </w:r>
      <w:r w:rsidR="000B7F26">
        <w:t xml:space="preserve">. </w:t>
      </w:r>
      <w:r w:rsidR="00D65D74">
        <w:t>For Tier 1 RES obligations, such review and adjustments will occur between May 15</w:t>
      </w:r>
      <w:r w:rsidR="00D65D74" w:rsidRPr="00D65D74">
        <w:rPr>
          <w:vertAlign w:val="superscript"/>
        </w:rPr>
        <w:t>th</w:t>
      </w:r>
      <w:r w:rsidR="00D65D74">
        <w:t xml:space="preserve"> and June 30</w:t>
      </w:r>
      <w:r w:rsidR="00D65D74" w:rsidRPr="00D65D74">
        <w:rPr>
          <w:vertAlign w:val="superscript"/>
        </w:rPr>
        <w:t>th</w:t>
      </w:r>
      <w:r w:rsidR="00D65D74">
        <w:t xml:space="preserve"> of each year.</w:t>
      </w:r>
      <w:r w:rsidR="009E3A8B">
        <w:t xml:space="preserve"> The dates provided in Table 1 are approximate and based on best estimates of data availability and processing times for each step. NYSERDA may revise the timing of these benchmarks as necessary in future compliance years. </w:t>
      </w:r>
    </w:p>
    <w:p w14:paraId="5DB535FF" w14:textId="57B4FBE0" w:rsidR="00CE4873" w:rsidRDefault="00CE4873" w:rsidP="00CE4873">
      <w:pPr>
        <w:pStyle w:val="Caption"/>
        <w:keepNext/>
      </w:pPr>
      <w:r>
        <w:lastRenderedPageBreak/>
        <w:t xml:space="preserve">Table </w:t>
      </w:r>
      <w:fldSimple w:instr=" SEQ Table \* ARABIC ">
        <w:r w:rsidR="000B1895">
          <w:rPr>
            <w:noProof/>
          </w:rPr>
          <w:t>1</w:t>
        </w:r>
      </w:fldSimple>
      <w:r>
        <w:t>: CES Compliance Reporting Timeline</w:t>
      </w:r>
      <w:r>
        <w:rPr>
          <w:noProof/>
        </w:rPr>
        <w:t xml:space="preserve"> for LSEs</w:t>
      </w:r>
    </w:p>
    <w:tbl>
      <w:tblPr>
        <w:tblW w:w="5000" w:type="pct"/>
        <w:tblCellMar>
          <w:left w:w="0" w:type="dxa"/>
          <w:right w:w="0" w:type="dxa"/>
        </w:tblCellMar>
        <w:tblLook w:val="04A0" w:firstRow="1" w:lastRow="0" w:firstColumn="1" w:lastColumn="0" w:noHBand="0" w:noVBand="1"/>
      </w:tblPr>
      <w:tblGrid>
        <w:gridCol w:w="6514"/>
        <w:gridCol w:w="2826"/>
      </w:tblGrid>
      <w:tr w:rsidR="00CE4873" w:rsidRPr="00393368" w14:paraId="4FB353C2" w14:textId="77777777" w:rsidTr="00874498">
        <w:trPr>
          <w:trHeight w:val="300"/>
        </w:trPr>
        <w:tc>
          <w:tcPr>
            <w:tcW w:w="3965"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0BE559B9" w14:textId="77777777" w:rsidR="00CE4873" w:rsidRPr="00393368" w:rsidRDefault="00CE4873" w:rsidP="001341CE">
            <w:pPr>
              <w:rPr>
                <w:rFonts w:ascii="Calibri" w:hAnsi="Calibri"/>
                <w:b/>
                <w:bCs/>
              </w:rPr>
            </w:pPr>
            <w:r w:rsidRPr="00393368">
              <w:rPr>
                <w:rFonts w:ascii="Calibri" w:hAnsi="Calibri"/>
                <w:b/>
                <w:bCs/>
              </w:rPr>
              <w:t>LSE RES Compliance Reporting</w:t>
            </w:r>
          </w:p>
        </w:tc>
        <w:tc>
          <w:tcPr>
            <w:tcW w:w="1035" w:type="pct"/>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78AFB8C3" w14:textId="77777777" w:rsidR="00CE4873" w:rsidRPr="00393368" w:rsidRDefault="00CE4873" w:rsidP="001341CE">
            <w:pPr>
              <w:rPr>
                <w:rFonts w:ascii="Calibri" w:hAnsi="Calibri"/>
              </w:rPr>
            </w:pPr>
            <w:r w:rsidRPr="00393368">
              <w:rPr>
                <w:rFonts w:ascii="Calibri" w:hAnsi="Calibri"/>
                <w:b/>
                <w:bCs/>
              </w:rPr>
              <w:t>Date</w:t>
            </w:r>
          </w:p>
        </w:tc>
      </w:tr>
      <w:tr w:rsidR="00CE4873" w:rsidRPr="00393368" w14:paraId="2641A753" w14:textId="77777777" w:rsidTr="00874498">
        <w:trPr>
          <w:trHeight w:val="313"/>
        </w:trPr>
        <w:tc>
          <w:tcPr>
            <w:tcW w:w="39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A1248D" w14:textId="77777777" w:rsidR="00CE4873" w:rsidRPr="00393368" w:rsidRDefault="00CE4873" w:rsidP="001341CE">
            <w:pPr>
              <w:spacing w:after="120"/>
              <w:rPr>
                <w:rFonts w:ascii="Calibri" w:hAnsi="Calibri"/>
                <w:sz w:val="20"/>
                <w:szCs w:val="20"/>
              </w:rPr>
            </w:pPr>
            <w:r w:rsidRPr="00393368">
              <w:rPr>
                <w:rFonts w:ascii="Calibri" w:hAnsi="Calibri"/>
                <w:sz w:val="20"/>
                <w:szCs w:val="20"/>
              </w:rPr>
              <w:t xml:space="preserve">End of </w:t>
            </w:r>
            <w:r>
              <w:rPr>
                <w:rFonts w:ascii="Calibri" w:hAnsi="Calibri"/>
                <w:sz w:val="20"/>
                <w:szCs w:val="20"/>
              </w:rPr>
              <w:t>RES compliance period</w:t>
            </w:r>
          </w:p>
        </w:tc>
        <w:tc>
          <w:tcPr>
            <w:tcW w:w="1035" w:type="pct"/>
            <w:tcBorders>
              <w:top w:val="nil"/>
              <w:left w:val="nil"/>
              <w:bottom w:val="single" w:sz="8" w:space="0" w:color="auto"/>
              <w:right w:val="single" w:sz="8" w:space="0" w:color="auto"/>
            </w:tcBorders>
            <w:noWrap/>
            <w:tcMar>
              <w:top w:w="0" w:type="dxa"/>
              <w:left w:w="108" w:type="dxa"/>
              <w:bottom w:w="0" w:type="dxa"/>
              <w:right w:w="108" w:type="dxa"/>
            </w:tcMar>
          </w:tcPr>
          <w:p w14:paraId="1A03FE5B" w14:textId="77777777" w:rsidR="00CE4873" w:rsidRPr="00393368" w:rsidRDefault="00CE4873" w:rsidP="001341CE">
            <w:pPr>
              <w:spacing w:after="120"/>
              <w:rPr>
                <w:rFonts w:ascii="Calibri" w:hAnsi="Calibri"/>
                <w:sz w:val="20"/>
                <w:szCs w:val="20"/>
              </w:rPr>
            </w:pPr>
            <w:r>
              <w:rPr>
                <w:rFonts w:ascii="Calibri" w:hAnsi="Calibri"/>
                <w:sz w:val="20"/>
                <w:szCs w:val="20"/>
              </w:rPr>
              <w:t>December 31</w:t>
            </w:r>
          </w:p>
        </w:tc>
      </w:tr>
      <w:tr w:rsidR="00CE4873" w:rsidRPr="00393368" w14:paraId="23986F7A" w14:textId="77777777" w:rsidTr="00874498">
        <w:trPr>
          <w:trHeight w:val="300"/>
        </w:trPr>
        <w:tc>
          <w:tcPr>
            <w:tcW w:w="39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BCF2D2" w14:textId="77777777" w:rsidR="00CE4873" w:rsidRPr="00393368" w:rsidRDefault="00CE4873" w:rsidP="001341CE">
            <w:pPr>
              <w:spacing w:after="120"/>
              <w:rPr>
                <w:rFonts w:ascii="Calibri" w:eastAsia="PMingLiU" w:hAnsi="Calibri"/>
                <w:sz w:val="20"/>
                <w:szCs w:val="20"/>
              </w:rPr>
            </w:pPr>
            <w:r w:rsidRPr="00393368">
              <w:rPr>
                <w:rFonts w:ascii="Calibri" w:hAnsi="Calibri"/>
                <w:sz w:val="20"/>
                <w:szCs w:val="20"/>
              </w:rPr>
              <w:t xml:space="preserve">NYSIO </w:t>
            </w:r>
            <w:r>
              <w:rPr>
                <w:rFonts w:ascii="Calibri" w:hAnsi="Calibri"/>
                <w:sz w:val="20"/>
                <w:szCs w:val="20"/>
              </w:rPr>
              <w:t>load data for applicable RES compliance period</w:t>
            </w:r>
            <w:r w:rsidRPr="00393368">
              <w:rPr>
                <w:rFonts w:ascii="Calibri" w:hAnsi="Calibri"/>
                <w:sz w:val="20"/>
                <w:szCs w:val="20"/>
              </w:rPr>
              <w:t xml:space="preserve"> </w:t>
            </w:r>
            <w:r>
              <w:rPr>
                <w:rFonts w:ascii="Calibri" w:hAnsi="Calibri"/>
                <w:sz w:val="20"/>
                <w:szCs w:val="20"/>
              </w:rPr>
              <w:t>a</w:t>
            </w:r>
            <w:r w:rsidRPr="00393368">
              <w:rPr>
                <w:rFonts w:ascii="Calibri" w:hAnsi="Calibri"/>
                <w:sz w:val="20"/>
                <w:szCs w:val="20"/>
              </w:rPr>
              <w:t>vailable in NYGATS</w:t>
            </w:r>
          </w:p>
        </w:tc>
        <w:tc>
          <w:tcPr>
            <w:tcW w:w="1035" w:type="pct"/>
            <w:tcBorders>
              <w:top w:val="nil"/>
              <w:left w:val="nil"/>
              <w:bottom w:val="single" w:sz="8" w:space="0" w:color="auto"/>
              <w:right w:val="single" w:sz="8" w:space="0" w:color="auto"/>
            </w:tcBorders>
            <w:noWrap/>
            <w:tcMar>
              <w:top w:w="0" w:type="dxa"/>
              <w:left w:w="108" w:type="dxa"/>
              <w:bottom w:w="0" w:type="dxa"/>
              <w:right w:w="108" w:type="dxa"/>
            </w:tcMar>
            <w:hideMark/>
          </w:tcPr>
          <w:p w14:paraId="4EBC29B2" w14:textId="24F614D1" w:rsidR="00CE4873" w:rsidRPr="00393368" w:rsidRDefault="00061AB4" w:rsidP="001341CE">
            <w:pPr>
              <w:spacing w:after="120"/>
              <w:rPr>
                <w:rFonts w:ascii="Calibri" w:hAnsi="Calibri"/>
                <w:sz w:val="20"/>
                <w:szCs w:val="20"/>
              </w:rPr>
            </w:pPr>
            <w:r>
              <w:rPr>
                <w:rFonts w:ascii="Calibri" w:hAnsi="Calibri"/>
                <w:sz w:val="20"/>
                <w:szCs w:val="20"/>
              </w:rPr>
              <w:t xml:space="preserve">Approximately </w:t>
            </w:r>
            <w:r w:rsidR="00CE4873">
              <w:rPr>
                <w:rFonts w:ascii="Calibri" w:hAnsi="Calibri"/>
                <w:sz w:val="20"/>
                <w:szCs w:val="20"/>
              </w:rPr>
              <w:t>May 15</w:t>
            </w:r>
          </w:p>
        </w:tc>
      </w:tr>
      <w:tr w:rsidR="00CE4873" w:rsidRPr="00393368" w14:paraId="1E5F2008" w14:textId="77777777" w:rsidTr="00874498">
        <w:trPr>
          <w:trHeight w:val="300"/>
        </w:trPr>
        <w:tc>
          <w:tcPr>
            <w:tcW w:w="39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F19093" w14:textId="77777777" w:rsidR="00CE4873" w:rsidRPr="00393368" w:rsidRDefault="00CE4873" w:rsidP="001341CE">
            <w:pPr>
              <w:spacing w:after="120"/>
              <w:rPr>
                <w:rFonts w:ascii="Calibri" w:hAnsi="Calibri"/>
                <w:sz w:val="20"/>
                <w:szCs w:val="20"/>
              </w:rPr>
            </w:pPr>
            <w:r>
              <w:rPr>
                <w:rFonts w:ascii="Calibri" w:hAnsi="Calibri"/>
                <w:sz w:val="20"/>
                <w:szCs w:val="20"/>
              </w:rPr>
              <w:t>LSE manages Tier 1 REC obligation, settles any discrepancies in compliance filing</w:t>
            </w:r>
          </w:p>
        </w:tc>
        <w:tc>
          <w:tcPr>
            <w:tcW w:w="1035" w:type="pct"/>
            <w:tcBorders>
              <w:top w:val="nil"/>
              <w:left w:val="nil"/>
              <w:bottom w:val="single" w:sz="8" w:space="0" w:color="auto"/>
              <w:right w:val="single" w:sz="8" w:space="0" w:color="auto"/>
            </w:tcBorders>
            <w:noWrap/>
            <w:tcMar>
              <w:top w:w="0" w:type="dxa"/>
              <w:left w:w="108" w:type="dxa"/>
              <w:bottom w:w="0" w:type="dxa"/>
              <w:right w:w="108" w:type="dxa"/>
            </w:tcMar>
          </w:tcPr>
          <w:p w14:paraId="1044117A" w14:textId="5C23848C" w:rsidR="00CE4873" w:rsidRPr="00393368" w:rsidRDefault="009E3A8B" w:rsidP="001341CE">
            <w:pPr>
              <w:spacing w:after="120"/>
              <w:rPr>
                <w:rFonts w:ascii="Calibri" w:hAnsi="Calibri"/>
                <w:sz w:val="20"/>
                <w:szCs w:val="20"/>
              </w:rPr>
            </w:pPr>
            <w:r>
              <w:rPr>
                <w:rFonts w:ascii="Calibri" w:hAnsi="Calibri"/>
                <w:sz w:val="20"/>
                <w:szCs w:val="20"/>
              </w:rPr>
              <w:t>May 16 – June 27</w:t>
            </w:r>
          </w:p>
        </w:tc>
      </w:tr>
      <w:tr w:rsidR="00CE4873" w:rsidRPr="00393368" w14:paraId="742BBFDC" w14:textId="77777777" w:rsidTr="00874498">
        <w:trPr>
          <w:trHeight w:val="300"/>
        </w:trPr>
        <w:tc>
          <w:tcPr>
            <w:tcW w:w="39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5C9AEA" w14:textId="77777777" w:rsidR="00CE4873" w:rsidRPr="00393368" w:rsidRDefault="00CE4873" w:rsidP="001341CE">
            <w:pPr>
              <w:spacing w:after="120"/>
              <w:rPr>
                <w:rFonts w:ascii="Calibri" w:eastAsia="PMingLiU" w:hAnsi="Calibri"/>
                <w:sz w:val="20"/>
                <w:szCs w:val="20"/>
              </w:rPr>
            </w:pPr>
            <w:r w:rsidRPr="00393368">
              <w:rPr>
                <w:rFonts w:ascii="Calibri" w:hAnsi="Calibri"/>
                <w:sz w:val="20"/>
                <w:szCs w:val="20"/>
              </w:rPr>
              <w:t>Trading closes in NYGATS</w:t>
            </w:r>
            <w:r>
              <w:rPr>
                <w:rFonts w:ascii="Calibri" w:hAnsi="Calibri"/>
                <w:sz w:val="20"/>
                <w:szCs w:val="20"/>
              </w:rPr>
              <w:t>; end of reconciliation period</w:t>
            </w:r>
          </w:p>
        </w:tc>
        <w:tc>
          <w:tcPr>
            <w:tcW w:w="1035" w:type="pct"/>
            <w:tcBorders>
              <w:top w:val="nil"/>
              <w:left w:val="nil"/>
              <w:bottom w:val="single" w:sz="8" w:space="0" w:color="auto"/>
              <w:right w:val="single" w:sz="8" w:space="0" w:color="auto"/>
            </w:tcBorders>
            <w:noWrap/>
            <w:tcMar>
              <w:top w:w="0" w:type="dxa"/>
              <w:left w:w="108" w:type="dxa"/>
              <w:bottom w:w="0" w:type="dxa"/>
              <w:right w:w="108" w:type="dxa"/>
            </w:tcMar>
            <w:hideMark/>
          </w:tcPr>
          <w:p w14:paraId="75AFCBD6" w14:textId="77777777" w:rsidR="00CE4873" w:rsidRPr="00393368" w:rsidRDefault="00CE4873" w:rsidP="001341CE">
            <w:pPr>
              <w:spacing w:after="120"/>
              <w:rPr>
                <w:rFonts w:ascii="Calibri" w:hAnsi="Calibri"/>
                <w:sz w:val="20"/>
                <w:szCs w:val="20"/>
              </w:rPr>
            </w:pPr>
            <w:r>
              <w:rPr>
                <w:rFonts w:ascii="Calibri" w:hAnsi="Calibri"/>
                <w:sz w:val="20"/>
                <w:szCs w:val="20"/>
              </w:rPr>
              <w:t>June 30 (11:59 pm)</w:t>
            </w:r>
          </w:p>
        </w:tc>
      </w:tr>
      <w:tr w:rsidR="00CE4873" w:rsidRPr="00393368" w14:paraId="640D3BDB" w14:textId="77777777" w:rsidTr="00874498">
        <w:trPr>
          <w:trHeight w:val="300"/>
        </w:trPr>
        <w:tc>
          <w:tcPr>
            <w:tcW w:w="39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6C4326" w14:textId="77651916" w:rsidR="00CE4873" w:rsidRPr="00393368" w:rsidRDefault="00CE4873" w:rsidP="001341CE">
            <w:pPr>
              <w:spacing w:after="120"/>
              <w:rPr>
                <w:rFonts w:ascii="Calibri" w:hAnsi="Calibri"/>
                <w:sz w:val="20"/>
                <w:szCs w:val="20"/>
              </w:rPr>
            </w:pPr>
            <w:r w:rsidRPr="00393368">
              <w:rPr>
                <w:rFonts w:ascii="Calibri" w:hAnsi="Calibri"/>
                <w:sz w:val="20"/>
                <w:szCs w:val="20"/>
              </w:rPr>
              <w:t xml:space="preserve">Final Compliance </w:t>
            </w:r>
            <w:r w:rsidR="007813F6">
              <w:rPr>
                <w:rFonts w:ascii="Calibri" w:hAnsi="Calibri"/>
                <w:sz w:val="20"/>
                <w:szCs w:val="20"/>
              </w:rPr>
              <w:t>Report</w:t>
            </w:r>
            <w:r w:rsidR="007813F6" w:rsidRPr="00393368">
              <w:rPr>
                <w:rFonts w:ascii="Calibri" w:hAnsi="Calibri"/>
                <w:sz w:val="20"/>
                <w:szCs w:val="20"/>
              </w:rPr>
              <w:t xml:space="preserve"> </w:t>
            </w:r>
            <w:r>
              <w:rPr>
                <w:rFonts w:ascii="Calibri" w:hAnsi="Calibri"/>
                <w:sz w:val="20"/>
                <w:szCs w:val="20"/>
              </w:rPr>
              <w:t xml:space="preserve">available in NYGATS </w:t>
            </w:r>
            <w:r w:rsidRPr="00393368">
              <w:rPr>
                <w:rFonts w:ascii="Calibri" w:hAnsi="Calibri"/>
                <w:sz w:val="20"/>
                <w:szCs w:val="20"/>
              </w:rPr>
              <w:t>and ACP invoice sent to LSE</w:t>
            </w:r>
          </w:p>
        </w:tc>
        <w:tc>
          <w:tcPr>
            <w:tcW w:w="1035" w:type="pct"/>
            <w:tcBorders>
              <w:top w:val="nil"/>
              <w:left w:val="nil"/>
              <w:bottom w:val="single" w:sz="8" w:space="0" w:color="auto"/>
              <w:right w:val="single" w:sz="8" w:space="0" w:color="auto"/>
            </w:tcBorders>
            <w:noWrap/>
            <w:tcMar>
              <w:top w:w="0" w:type="dxa"/>
              <w:left w:w="108" w:type="dxa"/>
              <w:bottom w:w="0" w:type="dxa"/>
              <w:right w:w="108" w:type="dxa"/>
            </w:tcMar>
          </w:tcPr>
          <w:p w14:paraId="4D58D5C1" w14:textId="77777777" w:rsidR="00CE4873" w:rsidRPr="00393368" w:rsidRDefault="00CE4873" w:rsidP="001341CE">
            <w:pPr>
              <w:spacing w:after="120"/>
              <w:rPr>
                <w:rFonts w:ascii="Calibri" w:hAnsi="Calibri"/>
                <w:sz w:val="20"/>
                <w:szCs w:val="20"/>
              </w:rPr>
            </w:pPr>
            <w:r w:rsidRPr="25EECDD9">
              <w:rPr>
                <w:rFonts w:ascii="Calibri" w:hAnsi="Calibri"/>
                <w:sz w:val="20"/>
                <w:szCs w:val="20"/>
              </w:rPr>
              <w:t>July</w:t>
            </w:r>
          </w:p>
        </w:tc>
      </w:tr>
      <w:tr w:rsidR="00CE4873" w:rsidRPr="00393368" w14:paraId="342506F0" w14:textId="77777777" w:rsidTr="00874498">
        <w:trPr>
          <w:trHeight w:val="300"/>
        </w:trPr>
        <w:tc>
          <w:tcPr>
            <w:tcW w:w="39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BE2C3A" w14:textId="77777777" w:rsidR="00CE4873" w:rsidRPr="00393368" w:rsidRDefault="00CE4873" w:rsidP="001341CE">
            <w:pPr>
              <w:spacing w:after="120"/>
              <w:rPr>
                <w:rFonts w:ascii="Calibri" w:hAnsi="Calibri"/>
                <w:sz w:val="20"/>
                <w:szCs w:val="20"/>
              </w:rPr>
            </w:pPr>
            <w:r>
              <w:rPr>
                <w:rFonts w:ascii="Calibri" w:hAnsi="Calibri"/>
                <w:sz w:val="20"/>
                <w:szCs w:val="20"/>
              </w:rPr>
              <w:t>ACPs accepted</w:t>
            </w:r>
          </w:p>
        </w:tc>
        <w:tc>
          <w:tcPr>
            <w:tcW w:w="1035" w:type="pct"/>
            <w:tcBorders>
              <w:top w:val="nil"/>
              <w:left w:val="nil"/>
              <w:bottom w:val="single" w:sz="8" w:space="0" w:color="auto"/>
              <w:right w:val="single" w:sz="8" w:space="0" w:color="auto"/>
            </w:tcBorders>
            <w:noWrap/>
            <w:tcMar>
              <w:top w:w="0" w:type="dxa"/>
              <w:left w:w="108" w:type="dxa"/>
              <w:bottom w:w="0" w:type="dxa"/>
              <w:right w:w="108" w:type="dxa"/>
            </w:tcMar>
          </w:tcPr>
          <w:p w14:paraId="1CB3ADF3" w14:textId="080FA207" w:rsidR="00CE4873" w:rsidRDefault="00061AB4" w:rsidP="001341CE">
            <w:pPr>
              <w:spacing w:after="120"/>
              <w:rPr>
                <w:rFonts w:ascii="Calibri" w:hAnsi="Calibri"/>
                <w:sz w:val="20"/>
                <w:szCs w:val="20"/>
              </w:rPr>
            </w:pPr>
            <w:r>
              <w:rPr>
                <w:rFonts w:ascii="Calibri" w:hAnsi="Calibri"/>
                <w:sz w:val="20"/>
                <w:szCs w:val="20"/>
              </w:rPr>
              <w:t xml:space="preserve">Approximately </w:t>
            </w:r>
            <w:r w:rsidR="00CE4873" w:rsidRPr="00874498">
              <w:rPr>
                <w:rFonts w:ascii="Calibri" w:hAnsi="Calibri"/>
                <w:sz w:val="20"/>
                <w:szCs w:val="20"/>
              </w:rPr>
              <w:t>July 2 – August 15</w:t>
            </w:r>
          </w:p>
        </w:tc>
      </w:tr>
      <w:tr w:rsidR="00CE4873" w:rsidRPr="00393368" w14:paraId="7123812A" w14:textId="77777777" w:rsidTr="00874498">
        <w:trPr>
          <w:trHeight w:val="300"/>
        </w:trPr>
        <w:tc>
          <w:tcPr>
            <w:tcW w:w="39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87FFDB" w14:textId="61E74676" w:rsidR="00CE4873" w:rsidRPr="00393368" w:rsidRDefault="00CE4873" w:rsidP="001341CE">
            <w:pPr>
              <w:spacing w:after="120"/>
              <w:rPr>
                <w:rFonts w:ascii="Calibri" w:hAnsi="Calibri"/>
                <w:sz w:val="20"/>
                <w:szCs w:val="20"/>
              </w:rPr>
            </w:pPr>
            <w:r>
              <w:rPr>
                <w:rFonts w:ascii="Calibri" w:hAnsi="Calibri"/>
                <w:sz w:val="20"/>
                <w:szCs w:val="20"/>
              </w:rPr>
              <w:t>LSE accepts</w:t>
            </w:r>
            <w:r w:rsidR="00695267">
              <w:rPr>
                <w:rFonts w:ascii="Calibri" w:hAnsi="Calibri"/>
                <w:sz w:val="20"/>
                <w:szCs w:val="20"/>
              </w:rPr>
              <w:t xml:space="preserve"> F</w:t>
            </w:r>
            <w:r>
              <w:rPr>
                <w:rFonts w:ascii="Calibri" w:hAnsi="Calibri"/>
                <w:sz w:val="20"/>
                <w:szCs w:val="20"/>
              </w:rPr>
              <w:t xml:space="preserve">inal </w:t>
            </w:r>
            <w:r w:rsidR="00695267">
              <w:rPr>
                <w:rFonts w:ascii="Calibri" w:hAnsi="Calibri"/>
                <w:sz w:val="20"/>
                <w:szCs w:val="20"/>
              </w:rPr>
              <w:t>C</w:t>
            </w:r>
            <w:r>
              <w:rPr>
                <w:rFonts w:ascii="Calibri" w:hAnsi="Calibri"/>
                <w:sz w:val="20"/>
                <w:szCs w:val="20"/>
              </w:rPr>
              <w:t xml:space="preserve">ompliance </w:t>
            </w:r>
            <w:r w:rsidR="007813F6">
              <w:rPr>
                <w:rFonts w:ascii="Calibri" w:hAnsi="Calibri"/>
                <w:sz w:val="20"/>
                <w:szCs w:val="20"/>
              </w:rPr>
              <w:t>Report</w:t>
            </w:r>
          </w:p>
        </w:tc>
        <w:tc>
          <w:tcPr>
            <w:tcW w:w="1035" w:type="pct"/>
            <w:tcBorders>
              <w:top w:val="nil"/>
              <w:left w:val="nil"/>
              <w:bottom w:val="single" w:sz="8" w:space="0" w:color="auto"/>
              <w:right w:val="single" w:sz="8" w:space="0" w:color="auto"/>
            </w:tcBorders>
            <w:noWrap/>
            <w:tcMar>
              <w:top w:w="0" w:type="dxa"/>
              <w:left w:w="108" w:type="dxa"/>
              <w:bottom w:w="0" w:type="dxa"/>
              <w:right w:w="108" w:type="dxa"/>
            </w:tcMar>
          </w:tcPr>
          <w:p w14:paraId="7B6F1FCA" w14:textId="77777777" w:rsidR="00CE4873" w:rsidRPr="00393368" w:rsidRDefault="00CE4873" w:rsidP="001341CE">
            <w:pPr>
              <w:spacing w:after="120"/>
              <w:rPr>
                <w:rFonts w:ascii="Calibri" w:hAnsi="Calibri"/>
                <w:sz w:val="20"/>
                <w:szCs w:val="20"/>
              </w:rPr>
            </w:pPr>
            <w:r>
              <w:rPr>
                <w:rFonts w:ascii="Calibri" w:hAnsi="Calibri"/>
                <w:sz w:val="20"/>
                <w:szCs w:val="20"/>
              </w:rPr>
              <w:t>August 31</w:t>
            </w:r>
          </w:p>
        </w:tc>
      </w:tr>
      <w:tr w:rsidR="00CE4873" w:rsidRPr="00393368" w14:paraId="23B5F267" w14:textId="77777777" w:rsidTr="00874498">
        <w:trPr>
          <w:trHeight w:val="300"/>
        </w:trPr>
        <w:tc>
          <w:tcPr>
            <w:tcW w:w="3965"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A1F20F7" w14:textId="77777777" w:rsidR="00CE4873" w:rsidRPr="00B1064E" w:rsidRDefault="00CE4873" w:rsidP="001341CE">
            <w:pPr>
              <w:rPr>
                <w:rFonts w:ascii="Calibri" w:hAnsi="Calibri"/>
                <w:b/>
                <w:bCs/>
              </w:rPr>
            </w:pPr>
            <w:r w:rsidRPr="00B1064E">
              <w:rPr>
                <w:rFonts w:ascii="Calibri" w:hAnsi="Calibri"/>
                <w:b/>
                <w:bCs/>
              </w:rPr>
              <w:t>LSE ZEC Compliance Reporting</w:t>
            </w:r>
          </w:p>
        </w:tc>
        <w:tc>
          <w:tcPr>
            <w:tcW w:w="1035" w:type="pct"/>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1740958D" w14:textId="77777777" w:rsidR="00CE4873" w:rsidRPr="00B1064E" w:rsidRDefault="00CE4873" w:rsidP="001341CE">
            <w:pPr>
              <w:rPr>
                <w:rFonts w:ascii="Calibri" w:hAnsi="Calibri"/>
                <w:b/>
                <w:bCs/>
              </w:rPr>
            </w:pPr>
          </w:p>
        </w:tc>
      </w:tr>
      <w:tr w:rsidR="00CE4873" w:rsidRPr="00393368" w14:paraId="061A172E" w14:textId="77777777" w:rsidTr="00874498">
        <w:trPr>
          <w:trHeight w:val="300"/>
        </w:trPr>
        <w:tc>
          <w:tcPr>
            <w:tcW w:w="3965"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212B64" w14:textId="77777777" w:rsidR="00CE4873" w:rsidRPr="00B1064E" w:rsidRDefault="00CE4873" w:rsidP="001341CE">
            <w:pPr>
              <w:rPr>
                <w:rFonts w:ascii="Calibri" w:hAnsi="Calibri"/>
                <w:sz w:val="20"/>
                <w:szCs w:val="20"/>
              </w:rPr>
            </w:pPr>
            <w:r w:rsidRPr="25EECDD9">
              <w:rPr>
                <w:rFonts w:ascii="Calibri" w:hAnsi="Calibri"/>
                <w:sz w:val="20"/>
                <w:szCs w:val="20"/>
              </w:rPr>
              <w:t>End of ZEC compliance period</w:t>
            </w:r>
          </w:p>
        </w:tc>
        <w:tc>
          <w:tcPr>
            <w:tcW w:w="1035"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18A6A3B" w14:textId="77777777" w:rsidR="00CE4873" w:rsidRPr="00B1064E" w:rsidRDefault="00CE4873" w:rsidP="001341CE">
            <w:pPr>
              <w:rPr>
                <w:rFonts w:ascii="Calibri" w:hAnsi="Calibri"/>
                <w:sz w:val="20"/>
                <w:szCs w:val="20"/>
              </w:rPr>
            </w:pPr>
            <w:r w:rsidRPr="25EECDD9">
              <w:rPr>
                <w:rFonts w:ascii="Calibri" w:hAnsi="Calibri"/>
                <w:sz w:val="20"/>
                <w:szCs w:val="20"/>
              </w:rPr>
              <w:t>March 31</w:t>
            </w:r>
          </w:p>
        </w:tc>
      </w:tr>
      <w:tr w:rsidR="00CE4873" w:rsidRPr="00393368" w14:paraId="22A76FEF" w14:textId="77777777" w:rsidTr="00874498">
        <w:trPr>
          <w:trHeight w:val="300"/>
        </w:trPr>
        <w:tc>
          <w:tcPr>
            <w:tcW w:w="3965"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F7E69A" w14:textId="77777777" w:rsidR="00CE4873" w:rsidRPr="00B1064E" w:rsidRDefault="00CE4873" w:rsidP="001341CE">
            <w:pPr>
              <w:rPr>
                <w:rFonts w:ascii="Calibri" w:hAnsi="Calibri"/>
                <w:sz w:val="20"/>
                <w:szCs w:val="20"/>
              </w:rPr>
            </w:pPr>
            <w:r w:rsidRPr="25EECDD9">
              <w:rPr>
                <w:rFonts w:ascii="Calibri" w:hAnsi="Calibri"/>
                <w:sz w:val="20"/>
                <w:szCs w:val="20"/>
              </w:rPr>
              <w:t>NYISO load data for previous ZEC compliance period available in NYGATS</w:t>
            </w:r>
          </w:p>
        </w:tc>
        <w:tc>
          <w:tcPr>
            <w:tcW w:w="1035"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E565FD7" w14:textId="7A47D8D3" w:rsidR="00CE4873" w:rsidRPr="00B1064E" w:rsidRDefault="00061AB4" w:rsidP="001341CE">
            <w:pPr>
              <w:rPr>
                <w:rFonts w:ascii="Calibri" w:hAnsi="Calibri"/>
                <w:sz w:val="20"/>
                <w:szCs w:val="20"/>
              </w:rPr>
            </w:pPr>
            <w:r>
              <w:rPr>
                <w:rFonts w:ascii="Calibri" w:hAnsi="Calibri"/>
                <w:sz w:val="20"/>
                <w:szCs w:val="20"/>
              </w:rPr>
              <w:t xml:space="preserve">Approximately </w:t>
            </w:r>
            <w:r w:rsidR="00CE4873" w:rsidRPr="25EECDD9">
              <w:rPr>
                <w:rFonts w:ascii="Calibri" w:hAnsi="Calibri"/>
                <w:sz w:val="20"/>
                <w:szCs w:val="20"/>
              </w:rPr>
              <w:t>August 15</w:t>
            </w:r>
          </w:p>
        </w:tc>
      </w:tr>
      <w:tr w:rsidR="00CE4873" w:rsidRPr="00393368" w14:paraId="2E037029" w14:textId="77777777" w:rsidTr="00874498">
        <w:trPr>
          <w:trHeight w:val="300"/>
        </w:trPr>
        <w:tc>
          <w:tcPr>
            <w:tcW w:w="3965"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7DD97A" w14:textId="77777777" w:rsidR="00CE4873" w:rsidRPr="00B1064E" w:rsidRDefault="00CE4873" w:rsidP="001341CE">
            <w:pPr>
              <w:rPr>
                <w:rFonts w:ascii="Calibri" w:hAnsi="Calibri"/>
                <w:sz w:val="20"/>
                <w:szCs w:val="20"/>
              </w:rPr>
            </w:pPr>
            <w:r w:rsidRPr="25EECDD9">
              <w:rPr>
                <w:rFonts w:ascii="Calibri" w:hAnsi="Calibri"/>
                <w:sz w:val="20"/>
                <w:szCs w:val="20"/>
              </w:rPr>
              <w:t>ZEC reconciliation period</w:t>
            </w:r>
          </w:p>
        </w:tc>
        <w:tc>
          <w:tcPr>
            <w:tcW w:w="1035"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tcPr>
          <w:p w14:paraId="530CD2E5" w14:textId="77777777" w:rsidR="00CE4873" w:rsidRPr="008E67A3" w:rsidRDefault="00CE4873" w:rsidP="001341CE">
            <w:pPr>
              <w:rPr>
                <w:rFonts w:ascii="Calibri" w:hAnsi="Calibri"/>
                <w:sz w:val="20"/>
                <w:szCs w:val="20"/>
                <w:highlight w:val="yellow"/>
              </w:rPr>
            </w:pPr>
            <w:r w:rsidRPr="00874498">
              <w:rPr>
                <w:rFonts w:ascii="Calibri" w:hAnsi="Calibri"/>
                <w:sz w:val="20"/>
                <w:szCs w:val="20"/>
              </w:rPr>
              <w:t>September 1 – October 15</w:t>
            </w:r>
          </w:p>
        </w:tc>
      </w:tr>
      <w:tr w:rsidR="00CE4873" w:rsidRPr="00393368" w14:paraId="6EE46793" w14:textId="77777777" w:rsidTr="00874498">
        <w:trPr>
          <w:trHeight w:val="300"/>
        </w:trPr>
        <w:tc>
          <w:tcPr>
            <w:tcW w:w="3965"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F2ADFC" w14:textId="00870A7E" w:rsidR="00CE4873" w:rsidRDefault="00CE4873" w:rsidP="001341CE">
            <w:pPr>
              <w:rPr>
                <w:rFonts w:ascii="Calibri" w:hAnsi="Calibri"/>
                <w:sz w:val="20"/>
                <w:szCs w:val="20"/>
              </w:rPr>
            </w:pPr>
            <w:r w:rsidRPr="25EECDD9">
              <w:rPr>
                <w:rFonts w:ascii="Calibri" w:hAnsi="Calibri"/>
                <w:sz w:val="20"/>
                <w:szCs w:val="20"/>
              </w:rPr>
              <w:t xml:space="preserve">LSE files </w:t>
            </w:r>
            <w:r w:rsidR="00695267">
              <w:rPr>
                <w:rFonts w:ascii="Calibri" w:hAnsi="Calibri"/>
                <w:sz w:val="20"/>
                <w:szCs w:val="20"/>
              </w:rPr>
              <w:t xml:space="preserve">Final </w:t>
            </w:r>
            <w:r w:rsidRPr="25EECDD9">
              <w:rPr>
                <w:rFonts w:ascii="Calibri" w:hAnsi="Calibri"/>
                <w:sz w:val="20"/>
                <w:szCs w:val="20"/>
              </w:rPr>
              <w:t xml:space="preserve">Compliance </w:t>
            </w:r>
            <w:bookmarkStart w:id="1" w:name="_GoBack"/>
            <w:r w:rsidR="007813F6">
              <w:rPr>
                <w:rFonts w:ascii="Calibri" w:hAnsi="Calibri"/>
                <w:sz w:val="20"/>
                <w:szCs w:val="20"/>
              </w:rPr>
              <w:t>Report</w:t>
            </w:r>
            <w:r w:rsidR="007813F6" w:rsidRPr="25EECDD9">
              <w:rPr>
                <w:rFonts w:ascii="Calibri" w:hAnsi="Calibri"/>
                <w:sz w:val="20"/>
                <w:szCs w:val="20"/>
              </w:rPr>
              <w:t xml:space="preserve"> </w:t>
            </w:r>
            <w:bookmarkEnd w:id="1"/>
            <w:r w:rsidRPr="25EECDD9">
              <w:rPr>
                <w:rFonts w:ascii="Calibri" w:hAnsi="Calibri"/>
                <w:sz w:val="20"/>
                <w:szCs w:val="20"/>
              </w:rPr>
              <w:t>in NYGATS</w:t>
            </w:r>
          </w:p>
        </w:tc>
        <w:tc>
          <w:tcPr>
            <w:tcW w:w="1035"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7D097542" w14:textId="77777777" w:rsidR="00CE4873" w:rsidRDefault="00CE4873" w:rsidP="001341CE">
            <w:pPr>
              <w:rPr>
                <w:rFonts w:ascii="Calibri" w:hAnsi="Calibri"/>
                <w:sz w:val="20"/>
                <w:szCs w:val="20"/>
              </w:rPr>
            </w:pPr>
            <w:r w:rsidRPr="25EECDD9">
              <w:rPr>
                <w:rFonts w:ascii="Calibri" w:hAnsi="Calibri"/>
                <w:sz w:val="20"/>
                <w:szCs w:val="20"/>
              </w:rPr>
              <w:t xml:space="preserve">October </w:t>
            </w:r>
            <w:r w:rsidRPr="009E3A8B">
              <w:rPr>
                <w:rFonts w:ascii="Calibri" w:hAnsi="Calibri"/>
                <w:sz w:val="20"/>
                <w:szCs w:val="20"/>
              </w:rPr>
              <w:t>3</w:t>
            </w:r>
            <w:r w:rsidRPr="00874498">
              <w:rPr>
                <w:rFonts w:ascii="Calibri" w:hAnsi="Calibri"/>
                <w:sz w:val="20"/>
                <w:szCs w:val="20"/>
              </w:rPr>
              <w:t>0</w:t>
            </w:r>
            <w:r w:rsidRPr="009E3A8B">
              <w:rPr>
                <w:rFonts w:ascii="Calibri" w:hAnsi="Calibri"/>
                <w:sz w:val="20"/>
                <w:szCs w:val="20"/>
              </w:rPr>
              <w:t>,</w:t>
            </w:r>
            <w:r w:rsidRPr="25EECDD9">
              <w:rPr>
                <w:rFonts w:ascii="Calibri" w:hAnsi="Calibri"/>
                <w:sz w:val="20"/>
                <w:szCs w:val="20"/>
              </w:rPr>
              <w:t xml:space="preserve"> 2018</w:t>
            </w:r>
          </w:p>
        </w:tc>
      </w:tr>
    </w:tbl>
    <w:p w14:paraId="546C75BF" w14:textId="77777777" w:rsidR="00CE4873" w:rsidRDefault="004F5969" w:rsidP="00464EFF">
      <w:pPr>
        <w:pStyle w:val="Heading1"/>
      </w:pPr>
      <w:r>
        <w:t>References</w:t>
      </w:r>
    </w:p>
    <w:p w14:paraId="0C079D37" w14:textId="605694BB" w:rsidR="00C034D5" w:rsidRDefault="00C034D5" w:rsidP="004F0F74">
      <w:pPr>
        <w:pStyle w:val="ListParagraph"/>
        <w:numPr>
          <w:ilvl w:val="0"/>
          <w:numId w:val="7"/>
        </w:numPr>
      </w:pPr>
      <w:r>
        <w:t>New York Generation Attribute Tracking System (</w:t>
      </w:r>
      <w:r w:rsidR="00293B13">
        <w:t>NYGATS</w:t>
      </w:r>
      <w:r>
        <w:t xml:space="preserve">): </w:t>
      </w:r>
      <w:hyperlink r:id="rId29" w:history="1">
        <w:r w:rsidRPr="00694186">
          <w:rPr>
            <w:rStyle w:val="Hyperlink"/>
          </w:rPr>
          <w:t>https://www.nyserda.ny.gov/All-Programs/Programs/NYGATS</w:t>
        </w:r>
      </w:hyperlink>
    </w:p>
    <w:p w14:paraId="153FAEC8" w14:textId="4322DD3E" w:rsidR="00C034D5" w:rsidRDefault="00C034D5" w:rsidP="004F0F74">
      <w:pPr>
        <w:pStyle w:val="ListParagraph"/>
        <w:numPr>
          <w:ilvl w:val="1"/>
          <w:numId w:val="7"/>
        </w:numPr>
      </w:pPr>
      <w:r>
        <w:t xml:space="preserve">NYGATS Operating Rules: </w:t>
      </w:r>
      <w:r w:rsidRPr="00C034D5">
        <w:t>https://www.nyserda.ny.gov/-/media/Files/Programs/NYGATS/Operating-Rules.pdf</w:t>
      </w:r>
    </w:p>
    <w:p w14:paraId="08564CC9" w14:textId="73B280C7" w:rsidR="00293B13" w:rsidRPr="00BC1D84" w:rsidRDefault="00293B13" w:rsidP="004F0F74">
      <w:pPr>
        <w:pStyle w:val="ListParagraph"/>
        <w:numPr>
          <w:ilvl w:val="0"/>
          <w:numId w:val="7"/>
        </w:numPr>
      </w:pPr>
      <w:r w:rsidRPr="00BC1D84">
        <w:t xml:space="preserve">NYSERDA </w:t>
      </w:r>
      <w:r w:rsidR="00C034D5" w:rsidRPr="00BC1D84">
        <w:t>CES Compliance webpage</w:t>
      </w:r>
      <w:proofErr w:type="gramStart"/>
      <w:r w:rsidR="00C034D5" w:rsidRPr="00BC1D84">
        <w:t>:  [</w:t>
      </w:r>
      <w:proofErr w:type="gramEnd"/>
      <w:r w:rsidR="00C034D5" w:rsidRPr="00BC1D84">
        <w:t>Add when link to new page  is available]</w:t>
      </w:r>
      <w:r w:rsidRPr="00BC1D84">
        <w:t xml:space="preserve"> </w:t>
      </w:r>
    </w:p>
    <w:p w14:paraId="71CC5D1C" w14:textId="782BE160" w:rsidR="00293B13" w:rsidRPr="00BC1D84" w:rsidRDefault="00C034D5" w:rsidP="004F0F74">
      <w:pPr>
        <w:pStyle w:val="ListParagraph"/>
        <w:numPr>
          <w:ilvl w:val="0"/>
          <w:numId w:val="7"/>
        </w:numPr>
      </w:pPr>
      <w:r w:rsidRPr="00BC1D84">
        <w:t>LSE CES C</w:t>
      </w:r>
      <w:r w:rsidR="00293B13" w:rsidRPr="00BC1D84">
        <w:t xml:space="preserve">ompliance </w:t>
      </w:r>
      <w:r w:rsidRPr="00BC1D84">
        <w:t>T</w:t>
      </w:r>
      <w:r w:rsidR="00293B13" w:rsidRPr="00BC1D84">
        <w:t xml:space="preserve">raining </w:t>
      </w:r>
      <w:r w:rsidRPr="00BC1D84">
        <w:t xml:space="preserve">(Webinar </w:t>
      </w:r>
      <w:r w:rsidR="00293B13" w:rsidRPr="00BC1D84">
        <w:t>slides and recording</w:t>
      </w:r>
      <w:r w:rsidRPr="00BC1D84">
        <w:t>): [Add when available]</w:t>
      </w:r>
    </w:p>
    <w:p w14:paraId="481CEDD0" w14:textId="0B69A1B0" w:rsidR="00293B13" w:rsidRPr="00BC1D84" w:rsidRDefault="00293B13" w:rsidP="004F0F74">
      <w:pPr>
        <w:pStyle w:val="ListParagraph"/>
        <w:numPr>
          <w:ilvl w:val="0"/>
          <w:numId w:val="7"/>
        </w:numPr>
      </w:pPr>
      <w:r w:rsidRPr="00BC1D84">
        <w:t>Downloadable form for discrepancy report</w:t>
      </w:r>
      <w:r w:rsidR="00C034D5" w:rsidRPr="00BC1D84">
        <w:t>: [Add when available]</w:t>
      </w:r>
    </w:p>
    <w:p w14:paraId="18DC1B1B" w14:textId="0233872F" w:rsidR="00293B13" w:rsidRDefault="00A97C95" w:rsidP="004F0F74">
      <w:pPr>
        <w:pStyle w:val="ListParagraph"/>
        <w:numPr>
          <w:ilvl w:val="0"/>
          <w:numId w:val="7"/>
        </w:numPr>
      </w:pPr>
      <w:r>
        <w:t xml:space="preserve">Environmental Disclosure Program: </w:t>
      </w:r>
      <w:hyperlink r:id="rId30" w:history="1">
        <w:r w:rsidRPr="00694186">
          <w:rPr>
            <w:rStyle w:val="Hyperlink"/>
          </w:rPr>
          <w:t>http://www3.dps.ny.gov/W/PSCWeb.nsf/0/502EF210A0D15B2885257687006F39D8</w:t>
        </w:r>
      </w:hyperlink>
      <w:r>
        <w:t xml:space="preserve"> </w:t>
      </w:r>
    </w:p>
    <w:p w14:paraId="0DD5CF9F" w14:textId="611159E8" w:rsidR="00A97C95" w:rsidRDefault="00A97C95" w:rsidP="00A97C95">
      <w:pPr>
        <w:pStyle w:val="ListParagraph"/>
        <w:numPr>
          <w:ilvl w:val="0"/>
          <w:numId w:val="7"/>
        </w:numPr>
      </w:pPr>
      <w:r>
        <w:t xml:space="preserve">RES Tier 1 Eligibility Information: </w:t>
      </w:r>
      <w:hyperlink r:id="rId31" w:history="1">
        <w:r w:rsidRPr="00694186">
          <w:rPr>
            <w:rStyle w:val="Hyperlink"/>
          </w:rPr>
          <w:t>https://www.nyserda.ny.gov/All-Programs/Programs/Clean-Energy-Standard/Renewable-Generators-and-Developers/RES-Tier-One-Eligibility</w:t>
        </w:r>
      </w:hyperlink>
    </w:p>
    <w:p w14:paraId="21BB5CE2" w14:textId="0DFA31C7" w:rsidR="00A97C95" w:rsidRDefault="00A97C95" w:rsidP="00A97C95">
      <w:pPr>
        <w:pStyle w:val="ListParagraph"/>
        <w:numPr>
          <w:ilvl w:val="1"/>
          <w:numId w:val="7"/>
        </w:numPr>
      </w:pPr>
      <w:r w:rsidRPr="00A97C95">
        <w:t xml:space="preserve">Eligibility </w:t>
      </w:r>
      <w:r>
        <w:t xml:space="preserve">and </w:t>
      </w:r>
      <w:r w:rsidRPr="00A97C95">
        <w:t xml:space="preserve">Certification </w:t>
      </w:r>
      <w:r>
        <w:t xml:space="preserve">Guidelines: </w:t>
      </w:r>
      <w:hyperlink r:id="rId32" w:history="1">
        <w:r w:rsidRPr="00694186">
          <w:rPr>
            <w:rStyle w:val="Hyperlink"/>
          </w:rPr>
          <w:t>https://www.nyserda.ny.gov/-/media/Files/Programs/Clean-Energy-Standard/Eligibility-Certification-Guidelines.pdf</w:t>
        </w:r>
      </w:hyperlink>
    </w:p>
    <w:p w14:paraId="735645C4" w14:textId="06D47B45" w:rsidR="00874498" w:rsidRDefault="00874498" w:rsidP="00874498">
      <w:pPr>
        <w:pStyle w:val="ListParagraph"/>
        <w:numPr>
          <w:ilvl w:val="0"/>
          <w:numId w:val="7"/>
        </w:numPr>
      </w:pPr>
      <w:r>
        <w:t xml:space="preserve">REC and ZEC Purchases: </w:t>
      </w:r>
      <w:hyperlink r:id="rId33" w:history="1">
        <w:r w:rsidRPr="00694186">
          <w:rPr>
            <w:rStyle w:val="Hyperlink"/>
          </w:rPr>
          <w:t>https://www.nyserda.ny.gov/All-Programs/Programs/Clean-Energy-Standard/REC-and-ZEC-Purchasers</w:t>
        </w:r>
      </w:hyperlink>
    </w:p>
    <w:p w14:paraId="2D50B2E2" w14:textId="08B0BB9C" w:rsidR="00874498" w:rsidRDefault="00874498" w:rsidP="00874498">
      <w:pPr>
        <w:pStyle w:val="ListParagraph"/>
        <w:numPr>
          <w:ilvl w:val="1"/>
          <w:numId w:val="7"/>
        </w:numPr>
      </w:pPr>
      <w:r>
        <w:t xml:space="preserve">REC Agreement (November 17, 2016): </w:t>
      </w:r>
      <w:hyperlink r:id="rId34" w:history="1">
        <w:r w:rsidRPr="00694186">
          <w:rPr>
            <w:rStyle w:val="Hyperlink"/>
          </w:rPr>
          <w:t>https://www.nyserda.ny.gov/-/media/Files/Programs/Clean-Energy-Standard/Agreement-Sale-of-RECs.pdf</w:t>
        </w:r>
      </w:hyperlink>
    </w:p>
    <w:p w14:paraId="0C2C58B0" w14:textId="67D528D1" w:rsidR="00874498" w:rsidRDefault="00874498" w:rsidP="00874498">
      <w:pPr>
        <w:pStyle w:val="ListParagraph"/>
        <w:numPr>
          <w:ilvl w:val="1"/>
          <w:numId w:val="7"/>
        </w:numPr>
      </w:pPr>
      <w:r>
        <w:t xml:space="preserve">ZEC Agreement (November 17, 2016): </w:t>
      </w:r>
      <w:r w:rsidRPr="00874498">
        <w:t>https://www.nyserda.ny.gov/-/media/Files/Programs/Clean-Energy-Standard/Agreement-Sale-of-ZECs.pdf</w:t>
      </w:r>
    </w:p>
    <w:p w14:paraId="552135D7" w14:textId="16CDE1A5" w:rsidR="00A97C95" w:rsidRDefault="00A97C95" w:rsidP="00A97C95">
      <w:pPr>
        <w:pStyle w:val="ListParagraph"/>
        <w:numPr>
          <w:ilvl w:val="0"/>
          <w:numId w:val="7"/>
        </w:numPr>
      </w:pPr>
      <w:r>
        <w:lastRenderedPageBreak/>
        <w:t xml:space="preserve">CES Orders, Reports, and Filings: </w:t>
      </w:r>
      <w:hyperlink r:id="rId35" w:history="1">
        <w:r w:rsidRPr="00694186">
          <w:rPr>
            <w:rStyle w:val="Hyperlink"/>
          </w:rPr>
          <w:t>https://www.nyserda.ny.gov/All-Programs/Programs/Clean-Energy-Standard/Important-Orders-Reports-and-Filings</w:t>
        </w:r>
      </w:hyperlink>
    </w:p>
    <w:p w14:paraId="1BD47DD4" w14:textId="19A2AA0A" w:rsidR="00A97C95" w:rsidRDefault="00A97C95" w:rsidP="00A97C95">
      <w:pPr>
        <w:pStyle w:val="ListParagraph"/>
        <w:numPr>
          <w:ilvl w:val="1"/>
          <w:numId w:val="7"/>
        </w:numPr>
      </w:pPr>
      <w:r>
        <w:t xml:space="preserve">CES Order: </w:t>
      </w:r>
      <w:hyperlink r:id="rId36" w:history="1">
        <w:r w:rsidRPr="00694186">
          <w:rPr>
            <w:rStyle w:val="Hyperlink"/>
          </w:rPr>
          <w:t>http://documents.dps.ny.gov/public/Common/ViewDoc.aspx?DocRefId=%7b44C5D5B8-14C3-4F32-8399-F5487D6D8FE8%7d</w:t>
        </w:r>
      </w:hyperlink>
    </w:p>
    <w:p w14:paraId="6038B9E4" w14:textId="1C5C8A02" w:rsidR="00A97C95" w:rsidRDefault="00A97C95" w:rsidP="00A97C95">
      <w:pPr>
        <w:pStyle w:val="ListParagraph"/>
        <w:numPr>
          <w:ilvl w:val="1"/>
          <w:numId w:val="7"/>
        </w:numPr>
      </w:pPr>
      <w:r>
        <w:t xml:space="preserve">Phase 1 Implementation Plan: </w:t>
      </w:r>
      <w:r w:rsidRPr="00A97C95">
        <w:t>https://www.nyserda.ny.gov/-/media/Files/Programs/Clean-Energy-Standard/2017-03-24-Phase-1-Implementation-Plan.pdf</w:t>
      </w:r>
    </w:p>
    <w:p w14:paraId="69B380AA" w14:textId="528FB779" w:rsidR="00A97C95" w:rsidRDefault="00A97C95" w:rsidP="00A97C95">
      <w:pPr>
        <w:pStyle w:val="ListParagraph"/>
        <w:numPr>
          <w:ilvl w:val="1"/>
          <w:numId w:val="7"/>
        </w:numPr>
      </w:pPr>
      <w:r>
        <w:t xml:space="preserve">Phase 2 Implementation Plan: </w:t>
      </w:r>
      <w:hyperlink r:id="rId37" w:history="1">
        <w:r w:rsidRPr="00694186">
          <w:rPr>
            <w:rStyle w:val="Hyperlink"/>
          </w:rPr>
          <w:t>https://www.nyserda.ny.gov/-/media/Files/Programs/Clean-Energy-Standard/2017-Phase2-ImplementationPlan.pdf</w:t>
        </w:r>
      </w:hyperlink>
    </w:p>
    <w:p w14:paraId="4F08ACC8" w14:textId="77777777" w:rsidR="00293B13" w:rsidRDefault="00293B13" w:rsidP="004F0F74">
      <w:pPr>
        <w:pStyle w:val="ListParagraph"/>
        <w:numPr>
          <w:ilvl w:val="0"/>
          <w:numId w:val="7"/>
        </w:numPr>
      </w:pPr>
      <w:r>
        <w:t>Contact information</w:t>
      </w:r>
    </w:p>
    <w:p w14:paraId="1AD9438F" w14:textId="01837B8A" w:rsidR="00293B13" w:rsidRDefault="00293B13" w:rsidP="004F0F74">
      <w:pPr>
        <w:pStyle w:val="ListParagraph"/>
        <w:numPr>
          <w:ilvl w:val="1"/>
          <w:numId w:val="7"/>
        </w:numPr>
      </w:pPr>
      <w:r>
        <w:t>NYSERDA</w:t>
      </w:r>
      <w:r w:rsidR="00A97C95">
        <w:t>: ces@nyserda.ny.gov</w:t>
      </w:r>
    </w:p>
    <w:p w14:paraId="1C0182B1" w14:textId="04DA6D30" w:rsidR="00293B13" w:rsidRDefault="00293B13" w:rsidP="004F0F74">
      <w:pPr>
        <w:pStyle w:val="ListParagraph"/>
        <w:numPr>
          <w:ilvl w:val="1"/>
          <w:numId w:val="7"/>
        </w:numPr>
      </w:pPr>
      <w:r>
        <w:t>NYGATS</w:t>
      </w:r>
      <w:r w:rsidR="00A97C95">
        <w:t xml:space="preserve"> Administrator: </w:t>
      </w:r>
      <w:r w:rsidR="00A97C95" w:rsidRPr="00A97C95">
        <w:t xml:space="preserve">408-642-0167 or </w:t>
      </w:r>
      <w:hyperlink r:id="rId38" w:history="1">
        <w:r w:rsidR="00A97C95" w:rsidRPr="00A97C95">
          <w:rPr>
            <w:rStyle w:val="Hyperlink"/>
          </w:rPr>
          <w:t>NYGATS@apx.c</w:t>
        </w:r>
        <w:r w:rsidR="00A97C95" w:rsidRPr="00A97C95" w:rsidDel="00774AB0">
          <w:rPr>
            <w:rStyle w:val="Hyperlink"/>
          </w:rPr>
          <w:t>p</w:t>
        </w:r>
        <w:r w:rsidR="00A97C95" w:rsidRPr="00A97C95">
          <w:rPr>
            <w:rStyle w:val="Hyperlink"/>
          </w:rPr>
          <w:t>om</w:t>
        </w:r>
      </w:hyperlink>
      <w:r w:rsidR="000B7F26">
        <w:t xml:space="preserve">. </w:t>
      </w:r>
    </w:p>
    <w:p w14:paraId="00FF8D8E" w14:textId="77777777" w:rsidR="00293B13" w:rsidRDefault="00293B13" w:rsidP="00F96C44"/>
    <w:p w14:paraId="66E63E7A" w14:textId="77777777" w:rsidR="006F2E16" w:rsidRPr="00F96C44" w:rsidRDefault="006F2E16" w:rsidP="00F96C44"/>
    <w:sectPr w:rsidR="006F2E16" w:rsidRPr="00F96C44">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F64BA" w14:textId="77777777" w:rsidR="00BE2867" w:rsidRDefault="00BE2867" w:rsidP="001F2571">
      <w:pPr>
        <w:spacing w:after="0" w:line="240" w:lineRule="auto"/>
      </w:pPr>
      <w:r>
        <w:separator/>
      </w:r>
    </w:p>
  </w:endnote>
  <w:endnote w:type="continuationSeparator" w:id="0">
    <w:p w14:paraId="1DD99581" w14:textId="77777777" w:rsidR="00BE2867" w:rsidRDefault="00BE2867" w:rsidP="001F2571">
      <w:pPr>
        <w:spacing w:after="0" w:line="240" w:lineRule="auto"/>
      </w:pPr>
      <w:r>
        <w:continuationSeparator/>
      </w:r>
    </w:p>
  </w:endnote>
  <w:endnote w:type="continuationNotice" w:id="1">
    <w:p w14:paraId="792D6D73" w14:textId="77777777" w:rsidR="00BE2867" w:rsidRDefault="00BE2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9742" w14:textId="77777777" w:rsidR="00BE2867" w:rsidRDefault="00BE2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645821"/>
      <w:docPartObj>
        <w:docPartGallery w:val="Page Numbers (Bottom of Page)"/>
        <w:docPartUnique/>
      </w:docPartObj>
    </w:sdtPr>
    <w:sdtEndPr>
      <w:rPr>
        <w:noProof/>
      </w:rPr>
    </w:sdtEndPr>
    <w:sdtContent>
      <w:p w14:paraId="4F88FD5E" w14:textId="7B12A567" w:rsidR="00BE2867" w:rsidRDefault="00BE2867">
        <w:pPr>
          <w:pStyle w:val="Footer"/>
          <w:jc w:val="right"/>
        </w:pPr>
        <w:r>
          <w:fldChar w:fldCharType="begin"/>
        </w:r>
        <w:r>
          <w:instrText xml:space="preserve"> PAGE   \* MERGEFORMAT </w:instrText>
        </w:r>
        <w:r>
          <w:fldChar w:fldCharType="separate"/>
        </w:r>
        <w:r w:rsidR="00C052D5">
          <w:rPr>
            <w:noProof/>
          </w:rPr>
          <w:t>9</w:t>
        </w:r>
        <w:r>
          <w:rPr>
            <w:noProof/>
          </w:rPr>
          <w:fldChar w:fldCharType="end"/>
        </w:r>
      </w:p>
    </w:sdtContent>
  </w:sdt>
  <w:p w14:paraId="556CE14E" w14:textId="77777777" w:rsidR="00BE2867" w:rsidRDefault="00BE2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FD15" w14:textId="77777777" w:rsidR="00BE2867" w:rsidRDefault="00BE2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22050" w14:textId="77777777" w:rsidR="00BE2867" w:rsidRDefault="00BE2867" w:rsidP="001F2571">
      <w:pPr>
        <w:spacing w:after="0" w:line="240" w:lineRule="auto"/>
      </w:pPr>
      <w:r>
        <w:separator/>
      </w:r>
    </w:p>
  </w:footnote>
  <w:footnote w:type="continuationSeparator" w:id="0">
    <w:p w14:paraId="27234A6E" w14:textId="77777777" w:rsidR="00BE2867" w:rsidRDefault="00BE2867" w:rsidP="001F2571">
      <w:pPr>
        <w:spacing w:after="0" w:line="240" w:lineRule="auto"/>
      </w:pPr>
      <w:r>
        <w:continuationSeparator/>
      </w:r>
    </w:p>
  </w:footnote>
  <w:footnote w:type="continuationNotice" w:id="1">
    <w:p w14:paraId="4D7528E5" w14:textId="77777777" w:rsidR="00BE2867" w:rsidRDefault="00BE2867">
      <w:pPr>
        <w:spacing w:after="0" w:line="240" w:lineRule="auto"/>
      </w:pPr>
    </w:p>
  </w:footnote>
  <w:footnote w:id="2">
    <w:p w14:paraId="06ABA32F" w14:textId="2A0207ED" w:rsidR="00BE2867" w:rsidRDefault="00BE2867">
      <w:pPr>
        <w:pStyle w:val="FootnoteText"/>
      </w:pPr>
      <w:r>
        <w:rPr>
          <w:rStyle w:val="FootnoteReference"/>
        </w:rPr>
        <w:footnoteRef/>
      </w:r>
      <w:r>
        <w:t xml:space="preserve"> Though an important component of the CES, the ZEC requirement does not count towards the 50 percent renewable energy goal.</w:t>
      </w:r>
    </w:p>
  </w:footnote>
  <w:footnote w:id="3">
    <w:p w14:paraId="72A995F1" w14:textId="00E1D47B" w:rsidR="00BE2867" w:rsidRDefault="00BE2867">
      <w:pPr>
        <w:pStyle w:val="FootnoteText"/>
      </w:pPr>
      <w:r>
        <w:rPr>
          <w:rStyle w:val="FootnoteReference"/>
        </w:rPr>
        <w:footnoteRef/>
      </w:r>
      <w:r>
        <w:t xml:space="preserve"> </w:t>
      </w:r>
      <w:r w:rsidRPr="00056D31">
        <w:rPr>
          <w:rFonts w:ascii="Times New Roman" w:hAnsi="Times New Roman" w:cs="Times New Roman"/>
        </w:rPr>
        <w:t>Case 15-E-0302</w:t>
      </w:r>
      <w:r>
        <w:rPr>
          <w:rFonts w:ascii="Times New Roman" w:hAnsi="Times New Roman" w:cs="Times New Roman"/>
        </w:rPr>
        <w:t xml:space="preserve"> – </w:t>
      </w:r>
      <w:r w:rsidRPr="005E45D0">
        <w:rPr>
          <w:rFonts w:ascii="Times New Roman" w:hAnsi="Times New Roman" w:cs="Times New Roman"/>
        </w:rPr>
        <w:t xml:space="preserve">Proceeding to Implement a Large-Scale Renewable Program and a Clean Energy Standard, </w:t>
      </w:r>
      <w:r>
        <w:rPr>
          <w:rFonts w:ascii="Times New Roman" w:hAnsi="Times New Roman" w:cs="Times New Roman"/>
          <w:i/>
        </w:rPr>
        <w:t xml:space="preserve">Final Phase 2 Implementation </w:t>
      </w:r>
      <w:proofErr w:type="gramStart"/>
      <w:r>
        <w:rPr>
          <w:rFonts w:ascii="Times New Roman" w:hAnsi="Times New Roman" w:cs="Times New Roman"/>
          <w:i/>
        </w:rPr>
        <w:t xml:space="preserve">Plan </w:t>
      </w:r>
      <w:r w:rsidRPr="00056D31">
        <w:rPr>
          <w:rFonts w:ascii="Times New Roman" w:hAnsi="Times New Roman" w:cs="Times New Roman"/>
        </w:rPr>
        <w:t xml:space="preserve"> (</w:t>
      </w:r>
      <w:proofErr w:type="gramEnd"/>
      <w:r w:rsidRPr="00056D31">
        <w:rPr>
          <w:rFonts w:ascii="Times New Roman" w:hAnsi="Times New Roman" w:cs="Times New Roman"/>
        </w:rPr>
        <w:t xml:space="preserve">issued </w:t>
      </w:r>
      <w:r>
        <w:rPr>
          <w:rFonts w:ascii="Times New Roman" w:hAnsi="Times New Roman" w:cs="Times New Roman"/>
        </w:rPr>
        <w:t>December 18, 2017</w:t>
      </w:r>
      <w:r w:rsidRPr="00056D31">
        <w:rPr>
          <w:rFonts w:ascii="Times New Roman" w:hAnsi="Times New Roman" w:cs="Times New Roman"/>
        </w:rPr>
        <w:t>)</w:t>
      </w:r>
      <w:r>
        <w:rPr>
          <w:rFonts w:ascii="Times New Roman" w:hAnsi="Times New Roman" w:cs="Times New Roman"/>
        </w:rPr>
        <w:t xml:space="preserve"> p. 14</w:t>
      </w:r>
    </w:p>
  </w:footnote>
  <w:footnote w:id="4">
    <w:p w14:paraId="5AD6B312" w14:textId="24AA81EB" w:rsidR="00BE2867" w:rsidRDefault="00BE2867">
      <w:pPr>
        <w:pStyle w:val="FootnoteText"/>
      </w:pPr>
      <w:r>
        <w:rPr>
          <w:rStyle w:val="FootnoteReference"/>
        </w:rPr>
        <w:footnoteRef/>
      </w:r>
      <w:r>
        <w:t xml:space="preserve"> </w:t>
      </w:r>
      <w:r w:rsidRPr="00056D31">
        <w:rPr>
          <w:rFonts w:ascii="Times New Roman" w:hAnsi="Times New Roman" w:cs="Times New Roman"/>
        </w:rPr>
        <w:t>Case 15-E-0302</w:t>
      </w:r>
      <w:r>
        <w:rPr>
          <w:rFonts w:ascii="Times New Roman" w:hAnsi="Times New Roman" w:cs="Times New Roman"/>
        </w:rPr>
        <w:t xml:space="preserve"> – </w:t>
      </w:r>
      <w:r w:rsidRPr="005E45D0">
        <w:rPr>
          <w:rFonts w:ascii="Times New Roman" w:hAnsi="Times New Roman" w:cs="Times New Roman"/>
        </w:rPr>
        <w:t xml:space="preserve">Proceeding to Implement a Large-Scale Renewable Program and a Clean Energy Standard, </w:t>
      </w:r>
      <w:r>
        <w:rPr>
          <w:rFonts w:ascii="Times New Roman" w:hAnsi="Times New Roman" w:cs="Times New Roman"/>
          <w:i/>
        </w:rPr>
        <w:t xml:space="preserve">Final Phase 2 Implementation </w:t>
      </w:r>
      <w:proofErr w:type="gramStart"/>
      <w:r>
        <w:rPr>
          <w:rFonts w:ascii="Times New Roman" w:hAnsi="Times New Roman" w:cs="Times New Roman"/>
          <w:i/>
        </w:rPr>
        <w:t xml:space="preserve">Plan </w:t>
      </w:r>
      <w:r w:rsidRPr="00056D31">
        <w:rPr>
          <w:rFonts w:ascii="Times New Roman" w:hAnsi="Times New Roman" w:cs="Times New Roman"/>
        </w:rPr>
        <w:t xml:space="preserve"> (</w:t>
      </w:r>
      <w:proofErr w:type="gramEnd"/>
      <w:r w:rsidRPr="00056D31">
        <w:rPr>
          <w:rFonts w:ascii="Times New Roman" w:hAnsi="Times New Roman" w:cs="Times New Roman"/>
        </w:rPr>
        <w:t xml:space="preserve">issued </w:t>
      </w:r>
      <w:r>
        <w:rPr>
          <w:rFonts w:ascii="Times New Roman" w:hAnsi="Times New Roman" w:cs="Times New Roman"/>
        </w:rPr>
        <w:t>December 18, 2017</w:t>
      </w:r>
      <w:r w:rsidRPr="00056D31">
        <w:rPr>
          <w:rFonts w:ascii="Times New Roman" w:hAnsi="Times New Roman" w:cs="Times New Roman"/>
        </w:rPr>
        <w:t>)</w:t>
      </w:r>
      <w:r>
        <w:rPr>
          <w:rFonts w:ascii="Times New Roman" w:hAnsi="Times New Roman" w:cs="Times New Roman"/>
        </w:rPr>
        <w:t xml:space="preserve"> p.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27D9" w14:textId="77777777" w:rsidR="00BE2867" w:rsidRDefault="00BE2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752672"/>
      <w:docPartObj>
        <w:docPartGallery w:val="Watermarks"/>
        <w:docPartUnique/>
      </w:docPartObj>
    </w:sdtPr>
    <w:sdtEndPr/>
    <w:sdtContent>
      <w:p w14:paraId="0A701491" w14:textId="4A20E353" w:rsidR="00BE2867" w:rsidRDefault="00024209">
        <w:pPr>
          <w:pStyle w:val="Header"/>
        </w:pPr>
        <w:r>
          <w:rPr>
            <w:noProof/>
          </w:rPr>
          <w:pict w14:anchorId="0CF84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6B52" w14:textId="77777777" w:rsidR="00BE2867" w:rsidRDefault="00BE2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A2382"/>
    <w:multiLevelType w:val="hybridMultilevel"/>
    <w:tmpl w:val="B940641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 w15:restartNumberingAfterBreak="0">
    <w:nsid w:val="2AF81C6C"/>
    <w:multiLevelType w:val="hybridMultilevel"/>
    <w:tmpl w:val="538ED372"/>
    <w:lvl w:ilvl="0" w:tplc="634CBA52">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961BC"/>
    <w:multiLevelType w:val="hybridMultilevel"/>
    <w:tmpl w:val="597A0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341B9"/>
    <w:multiLevelType w:val="hybridMultilevel"/>
    <w:tmpl w:val="92949A70"/>
    <w:lvl w:ilvl="0" w:tplc="C3400B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F120F"/>
    <w:multiLevelType w:val="hybridMultilevel"/>
    <w:tmpl w:val="A30C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7382E"/>
    <w:multiLevelType w:val="hybridMultilevel"/>
    <w:tmpl w:val="65945D28"/>
    <w:lvl w:ilvl="0" w:tplc="6BC6EBE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40139"/>
    <w:multiLevelType w:val="hybridMultilevel"/>
    <w:tmpl w:val="2AE0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8B"/>
    <w:rsid w:val="00007802"/>
    <w:rsid w:val="000106BA"/>
    <w:rsid w:val="00024209"/>
    <w:rsid w:val="00040092"/>
    <w:rsid w:val="00050016"/>
    <w:rsid w:val="00053723"/>
    <w:rsid w:val="00061AB4"/>
    <w:rsid w:val="0007320D"/>
    <w:rsid w:val="00073575"/>
    <w:rsid w:val="00075E01"/>
    <w:rsid w:val="00075FF6"/>
    <w:rsid w:val="0009133D"/>
    <w:rsid w:val="000A2E04"/>
    <w:rsid w:val="000A3AB0"/>
    <w:rsid w:val="000A7D41"/>
    <w:rsid w:val="000B1895"/>
    <w:rsid w:val="000B45BA"/>
    <w:rsid w:val="000B684F"/>
    <w:rsid w:val="000B7F26"/>
    <w:rsid w:val="000C1730"/>
    <w:rsid w:val="000C4BD3"/>
    <w:rsid w:val="000E28FC"/>
    <w:rsid w:val="00102F70"/>
    <w:rsid w:val="001341CE"/>
    <w:rsid w:val="00146516"/>
    <w:rsid w:val="00153B09"/>
    <w:rsid w:val="0015419F"/>
    <w:rsid w:val="00196001"/>
    <w:rsid w:val="001C5FA7"/>
    <w:rsid w:val="001E1695"/>
    <w:rsid w:val="001E37AA"/>
    <w:rsid w:val="001F1510"/>
    <w:rsid w:val="001F2571"/>
    <w:rsid w:val="0020775C"/>
    <w:rsid w:val="0021324E"/>
    <w:rsid w:val="00236A36"/>
    <w:rsid w:val="002611E4"/>
    <w:rsid w:val="0027472E"/>
    <w:rsid w:val="00293B13"/>
    <w:rsid w:val="00294B4B"/>
    <w:rsid w:val="002A2C95"/>
    <w:rsid w:val="002C09EA"/>
    <w:rsid w:val="002C15A2"/>
    <w:rsid w:val="002C462A"/>
    <w:rsid w:val="002D3CA9"/>
    <w:rsid w:val="002D4B6E"/>
    <w:rsid w:val="002F4134"/>
    <w:rsid w:val="00306943"/>
    <w:rsid w:val="00316E8B"/>
    <w:rsid w:val="00320F08"/>
    <w:rsid w:val="00322DA7"/>
    <w:rsid w:val="00324C19"/>
    <w:rsid w:val="00331CEE"/>
    <w:rsid w:val="003408AE"/>
    <w:rsid w:val="00356531"/>
    <w:rsid w:val="00362A25"/>
    <w:rsid w:val="00386361"/>
    <w:rsid w:val="00395403"/>
    <w:rsid w:val="003A09FF"/>
    <w:rsid w:val="003A47CE"/>
    <w:rsid w:val="003A51F1"/>
    <w:rsid w:val="003B12D8"/>
    <w:rsid w:val="003B1573"/>
    <w:rsid w:val="003C1D93"/>
    <w:rsid w:val="003C4CBB"/>
    <w:rsid w:val="003C4F8C"/>
    <w:rsid w:val="003E2258"/>
    <w:rsid w:val="003E30CE"/>
    <w:rsid w:val="003E4397"/>
    <w:rsid w:val="003F657F"/>
    <w:rsid w:val="003F67F6"/>
    <w:rsid w:val="0041424C"/>
    <w:rsid w:val="00415CC9"/>
    <w:rsid w:val="00424F20"/>
    <w:rsid w:val="00425999"/>
    <w:rsid w:val="00441DE2"/>
    <w:rsid w:val="00451918"/>
    <w:rsid w:val="00460AEA"/>
    <w:rsid w:val="004621EF"/>
    <w:rsid w:val="00464EFF"/>
    <w:rsid w:val="00473E2D"/>
    <w:rsid w:val="00475E5D"/>
    <w:rsid w:val="00490E99"/>
    <w:rsid w:val="004A70E5"/>
    <w:rsid w:val="004C7983"/>
    <w:rsid w:val="004C7B33"/>
    <w:rsid w:val="004E2A8C"/>
    <w:rsid w:val="004E6DDF"/>
    <w:rsid w:val="004F0F74"/>
    <w:rsid w:val="004F31A7"/>
    <w:rsid w:val="004F5969"/>
    <w:rsid w:val="00505F21"/>
    <w:rsid w:val="0050618D"/>
    <w:rsid w:val="00526B12"/>
    <w:rsid w:val="00537995"/>
    <w:rsid w:val="00552B46"/>
    <w:rsid w:val="00581DD3"/>
    <w:rsid w:val="005831E3"/>
    <w:rsid w:val="0059302A"/>
    <w:rsid w:val="005B4336"/>
    <w:rsid w:val="005B7B95"/>
    <w:rsid w:val="005C18BD"/>
    <w:rsid w:val="005E3404"/>
    <w:rsid w:val="005E4E99"/>
    <w:rsid w:val="005F7F9F"/>
    <w:rsid w:val="0063272B"/>
    <w:rsid w:val="006456EC"/>
    <w:rsid w:val="00652C47"/>
    <w:rsid w:val="00695267"/>
    <w:rsid w:val="006A073C"/>
    <w:rsid w:val="006A5A85"/>
    <w:rsid w:val="006B12BE"/>
    <w:rsid w:val="006B60B8"/>
    <w:rsid w:val="006C1BA2"/>
    <w:rsid w:val="006E1CFB"/>
    <w:rsid w:val="006E3D5D"/>
    <w:rsid w:val="006F2E16"/>
    <w:rsid w:val="006F5F56"/>
    <w:rsid w:val="00735BA8"/>
    <w:rsid w:val="0075072B"/>
    <w:rsid w:val="007615D0"/>
    <w:rsid w:val="00765274"/>
    <w:rsid w:val="007675D1"/>
    <w:rsid w:val="00770F21"/>
    <w:rsid w:val="00773E07"/>
    <w:rsid w:val="00774AB0"/>
    <w:rsid w:val="007813F6"/>
    <w:rsid w:val="0078159F"/>
    <w:rsid w:val="007844C7"/>
    <w:rsid w:val="007A159D"/>
    <w:rsid w:val="007A4727"/>
    <w:rsid w:val="007C140C"/>
    <w:rsid w:val="00815C9B"/>
    <w:rsid w:val="00831774"/>
    <w:rsid w:val="008345A4"/>
    <w:rsid w:val="00846F8C"/>
    <w:rsid w:val="00852905"/>
    <w:rsid w:val="008653E5"/>
    <w:rsid w:val="00874498"/>
    <w:rsid w:val="00875A38"/>
    <w:rsid w:val="008832A9"/>
    <w:rsid w:val="008B288E"/>
    <w:rsid w:val="008C53B0"/>
    <w:rsid w:val="008D5A85"/>
    <w:rsid w:val="008E67A3"/>
    <w:rsid w:val="008F1EEE"/>
    <w:rsid w:val="008F61BA"/>
    <w:rsid w:val="00906D90"/>
    <w:rsid w:val="009100EC"/>
    <w:rsid w:val="00917781"/>
    <w:rsid w:val="009518F2"/>
    <w:rsid w:val="00964B9C"/>
    <w:rsid w:val="0097389F"/>
    <w:rsid w:val="009842FF"/>
    <w:rsid w:val="00991978"/>
    <w:rsid w:val="009A167D"/>
    <w:rsid w:val="009B1A5A"/>
    <w:rsid w:val="009C1B09"/>
    <w:rsid w:val="009C3026"/>
    <w:rsid w:val="009E05C5"/>
    <w:rsid w:val="009E3A8B"/>
    <w:rsid w:val="009E4A43"/>
    <w:rsid w:val="00A165FE"/>
    <w:rsid w:val="00A2197B"/>
    <w:rsid w:val="00A539A6"/>
    <w:rsid w:val="00A70603"/>
    <w:rsid w:val="00A75045"/>
    <w:rsid w:val="00A907B3"/>
    <w:rsid w:val="00A942F8"/>
    <w:rsid w:val="00A97C95"/>
    <w:rsid w:val="00AB1213"/>
    <w:rsid w:val="00AC4531"/>
    <w:rsid w:val="00AC74F1"/>
    <w:rsid w:val="00AD2BA2"/>
    <w:rsid w:val="00AD3498"/>
    <w:rsid w:val="00AE7D8A"/>
    <w:rsid w:val="00AF7ED4"/>
    <w:rsid w:val="00B05F9A"/>
    <w:rsid w:val="00B1064E"/>
    <w:rsid w:val="00B26BF9"/>
    <w:rsid w:val="00B360D9"/>
    <w:rsid w:val="00B4202D"/>
    <w:rsid w:val="00B4376A"/>
    <w:rsid w:val="00B4514A"/>
    <w:rsid w:val="00B525B1"/>
    <w:rsid w:val="00B74824"/>
    <w:rsid w:val="00B75D99"/>
    <w:rsid w:val="00B77AA4"/>
    <w:rsid w:val="00B80340"/>
    <w:rsid w:val="00B8224C"/>
    <w:rsid w:val="00B82C95"/>
    <w:rsid w:val="00B9171E"/>
    <w:rsid w:val="00B92121"/>
    <w:rsid w:val="00BC1D84"/>
    <w:rsid w:val="00BE2867"/>
    <w:rsid w:val="00BF5F87"/>
    <w:rsid w:val="00C034D5"/>
    <w:rsid w:val="00C052D5"/>
    <w:rsid w:val="00C102C7"/>
    <w:rsid w:val="00C354F2"/>
    <w:rsid w:val="00C36D8A"/>
    <w:rsid w:val="00C4631D"/>
    <w:rsid w:val="00C6169F"/>
    <w:rsid w:val="00C77D4F"/>
    <w:rsid w:val="00CA03DD"/>
    <w:rsid w:val="00CA5CA2"/>
    <w:rsid w:val="00CB62AF"/>
    <w:rsid w:val="00CB7DE3"/>
    <w:rsid w:val="00CD2793"/>
    <w:rsid w:val="00CE2D57"/>
    <w:rsid w:val="00CE4873"/>
    <w:rsid w:val="00D115D1"/>
    <w:rsid w:val="00D12BC8"/>
    <w:rsid w:val="00D15B3B"/>
    <w:rsid w:val="00D15DFA"/>
    <w:rsid w:val="00D17336"/>
    <w:rsid w:val="00D2040A"/>
    <w:rsid w:val="00D2680C"/>
    <w:rsid w:val="00D327B4"/>
    <w:rsid w:val="00D540F0"/>
    <w:rsid w:val="00D616D3"/>
    <w:rsid w:val="00D6539E"/>
    <w:rsid w:val="00D65D74"/>
    <w:rsid w:val="00D87926"/>
    <w:rsid w:val="00D900DA"/>
    <w:rsid w:val="00D97906"/>
    <w:rsid w:val="00DB71DF"/>
    <w:rsid w:val="00DD1A4A"/>
    <w:rsid w:val="00DE0E2A"/>
    <w:rsid w:val="00DF6155"/>
    <w:rsid w:val="00E03E1C"/>
    <w:rsid w:val="00E06AFD"/>
    <w:rsid w:val="00E36ADB"/>
    <w:rsid w:val="00E37722"/>
    <w:rsid w:val="00E45479"/>
    <w:rsid w:val="00E64DFC"/>
    <w:rsid w:val="00E7468C"/>
    <w:rsid w:val="00E82AED"/>
    <w:rsid w:val="00E83854"/>
    <w:rsid w:val="00E853FD"/>
    <w:rsid w:val="00EA1948"/>
    <w:rsid w:val="00EA227F"/>
    <w:rsid w:val="00EF00AC"/>
    <w:rsid w:val="00F01F4B"/>
    <w:rsid w:val="00F0271E"/>
    <w:rsid w:val="00F04041"/>
    <w:rsid w:val="00F132A5"/>
    <w:rsid w:val="00F5482B"/>
    <w:rsid w:val="00F67AAB"/>
    <w:rsid w:val="00F862BB"/>
    <w:rsid w:val="00F87A1B"/>
    <w:rsid w:val="00F96C44"/>
    <w:rsid w:val="00FE16B3"/>
    <w:rsid w:val="00FE5BEF"/>
    <w:rsid w:val="25EEC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EC9B74"/>
  <w15:chartTrackingRefBased/>
  <w15:docId w15:val="{C7A17480-B70D-4E42-81E1-A6E9021A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61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12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E8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4202D"/>
    <w:pPr>
      <w:ind w:left="720"/>
      <w:contextualSpacing/>
    </w:pPr>
  </w:style>
  <w:style w:type="character" w:customStyle="1" w:styleId="Heading2Char">
    <w:name w:val="Heading 2 Char"/>
    <w:basedOn w:val="DefaultParagraphFont"/>
    <w:link w:val="Heading2"/>
    <w:uiPriority w:val="9"/>
    <w:rsid w:val="008F61B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A03DD"/>
    <w:rPr>
      <w:color w:val="0563C1" w:themeColor="hyperlink"/>
      <w:u w:val="single"/>
    </w:rPr>
  </w:style>
  <w:style w:type="character" w:styleId="UnresolvedMention">
    <w:name w:val="Unresolved Mention"/>
    <w:basedOn w:val="DefaultParagraphFont"/>
    <w:uiPriority w:val="99"/>
    <w:semiHidden/>
    <w:unhideWhenUsed/>
    <w:rsid w:val="00CA03DD"/>
    <w:rPr>
      <w:color w:val="808080"/>
      <w:shd w:val="clear" w:color="auto" w:fill="E6E6E6"/>
    </w:rPr>
  </w:style>
  <w:style w:type="character" w:styleId="CommentReference">
    <w:name w:val="annotation reference"/>
    <w:basedOn w:val="DefaultParagraphFont"/>
    <w:uiPriority w:val="99"/>
    <w:semiHidden/>
    <w:unhideWhenUsed/>
    <w:rsid w:val="00F87A1B"/>
    <w:rPr>
      <w:sz w:val="16"/>
      <w:szCs w:val="16"/>
    </w:rPr>
  </w:style>
  <w:style w:type="paragraph" w:styleId="CommentText">
    <w:name w:val="annotation text"/>
    <w:basedOn w:val="Normal"/>
    <w:link w:val="CommentTextChar"/>
    <w:uiPriority w:val="99"/>
    <w:semiHidden/>
    <w:unhideWhenUsed/>
    <w:rsid w:val="00F87A1B"/>
    <w:pPr>
      <w:spacing w:after="0" w:line="240" w:lineRule="auto"/>
    </w:pPr>
    <w:rPr>
      <w:rFonts w:ascii="Verdana" w:hAnsi="Verdana" w:cs="Calibri"/>
      <w:color w:val="000000"/>
      <w:sz w:val="20"/>
      <w:szCs w:val="20"/>
    </w:rPr>
  </w:style>
  <w:style w:type="character" w:customStyle="1" w:styleId="CommentTextChar">
    <w:name w:val="Comment Text Char"/>
    <w:basedOn w:val="DefaultParagraphFont"/>
    <w:link w:val="CommentText"/>
    <w:uiPriority w:val="99"/>
    <w:semiHidden/>
    <w:rsid w:val="00F87A1B"/>
    <w:rPr>
      <w:rFonts w:ascii="Verdana" w:hAnsi="Verdana" w:cs="Calibri"/>
      <w:color w:val="000000"/>
      <w:sz w:val="20"/>
      <w:szCs w:val="20"/>
    </w:rPr>
  </w:style>
  <w:style w:type="paragraph" w:styleId="BalloonText">
    <w:name w:val="Balloon Text"/>
    <w:basedOn w:val="Normal"/>
    <w:link w:val="BalloonTextChar"/>
    <w:uiPriority w:val="99"/>
    <w:semiHidden/>
    <w:unhideWhenUsed/>
    <w:rsid w:val="00F87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A1B"/>
    <w:rPr>
      <w:rFonts w:ascii="Segoe UI" w:hAnsi="Segoe UI" w:cs="Segoe UI"/>
      <w:sz w:val="18"/>
      <w:szCs w:val="18"/>
    </w:rPr>
  </w:style>
  <w:style w:type="paragraph" w:styleId="Caption">
    <w:name w:val="caption"/>
    <w:basedOn w:val="Normal"/>
    <w:next w:val="Normal"/>
    <w:uiPriority w:val="35"/>
    <w:unhideWhenUsed/>
    <w:qFormat/>
    <w:rsid w:val="008E67A3"/>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B12D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F2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571"/>
  </w:style>
  <w:style w:type="paragraph" w:styleId="Footer">
    <w:name w:val="footer"/>
    <w:basedOn w:val="Normal"/>
    <w:link w:val="FooterChar"/>
    <w:uiPriority w:val="99"/>
    <w:unhideWhenUsed/>
    <w:rsid w:val="001F2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571"/>
  </w:style>
  <w:style w:type="paragraph" w:styleId="CommentSubject">
    <w:name w:val="annotation subject"/>
    <w:basedOn w:val="CommentText"/>
    <w:next w:val="CommentText"/>
    <w:link w:val="CommentSubjectChar"/>
    <w:uiPriority w:val="99"/>
    <w:semiHidden/>
    <w:unhideWhenUsed/>
    <w:rsid w:val="001F2571"/>
    <w:pPr>
      <w:spacing w:after="160"/>
    </w:pPr>
    <w:rPr>
      <w:rFonts w:ascii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F2571"/>
    <w:rPr>
      <w:rFonts w:ascii="Verdana" w:hAnsi="Verdana" w:cs="Calibri"/>
      <w:b/>
      <w:bCs/>
      <w:color w:val="000000"/>
      <w:sz w:val="20"/>
      <w:szCs w:val="20"/>
    </w:rPr>
  </w:style>
  <w:style w:type="paragraph" w:customStyle="1" w:styleId="Default">
    <w:name w:val="Default"/>
    <w:rsid w:val="00FE16B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518F2"/>
    <w:pPr>
      <w:spacing w:after="0" w:line="240" w:lineRule="auto"/>
    </w:pPr>
  </w:style>
  <w:style w:type="character" w:styleId="FollowedHyperlink">
    <w:name w:val="FollowedHyperlink"/>
    <w:basedOn w:val="DefaultParagraphFont"/>
    <w:uiPriority w:val="99"/>
    <w:semiHidden/>
    <w:unhideWhenUsed/>
    <w:rsid w:val="003E2258"/>
    <w:rPr>
      <w:color w:val="954F72" w:themeColor="followedHyperlink"/>
      <w:u w:val="single"/>
    </w:rPr>
  </w:style>
  <w:style w:type="paragraph" w:styleId="FootnoteText">
    <w:name w:val="footnote text"/>
    <w:basedOn w:val="Normal"/>
    <w:link w:val="FootnoteTextChar"/>
    <w:uiPriority w:val="99"/>
    <w:semiHidden/>
    <w:unhideWhenUsed/>
    <w:rsid w:val="002D3C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CA9"/>
    <w:rPr>
      <w:sz w:val="20"/>
      <w:szCs w:val="20"/>
    </w:rPr>
  </w:style>
  <w:style w:type="character" w:styleId="FootnoteReference">
    <w:name w:val="footnote reference"/>
    <w:basedOn w:val="DefaultParagraphFont"/>
    <w:uiPriority w:val="99"/>
    <w:semiHidden/>
    <w:unhideWhenUsed/>
    <w:rsid w:val="002D3C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serda.ny.gov/All-Programs/Programs/Clean-Energy-Standard/Important-Orders-Reports-and-Filings" TargetMode="External"/><Relationship Id="rId18" Type="http://schemas.openxmlformats.org/officeDocument/2006/relationships/hyperlink" Target="http://www3.dps.ny.gov/W/PSCWeb.nsf/0/502EF210A0D15B2885257687006F39D8" TargetMode="External"/><Relationship Id="rId26" Type="http://schemas.openxmlformats.org/officeDocument/2006/relationships/hyperlink" Target="https://www.nyserda.ny.gov/-/media/Files/Programs/NYGATS/Operating-Rules.pdf"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yserda.ny.gov/-/media/Files/Programs/Clean-Energy-Standard/Eligibility-Certification-Guidelines.pdf" TargetMode="External"/><Relationship Id="rId34" Type="http://schemas.openxmlformats.org/officeDocument/2006/relationships/hyperlink" Target="https://www.nyserda.ny.gov/-/media/Files/Programs/Clean-Energy-Standard/Agreement-Sale-of-RECs.pdf"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yserda.ny.gov/-/media/Files/Programs/Clean-Energy-Standard/2017-Phase2-ImplementationPlan.pdf" TargetMode="External"/><Relationship Id="rId17" Type="http://schemas.openxmlformats.org/officeDocument/2006/relationships/hyperlink" Target="mailto:NYGATS@apx.com" TargetMode="External"/><Relationship Id="rId25" Type="http://schemas.openxmlformats.org/officeDocument/2006/relationships/hyperlink" Target="https://www.nyserda.ny.gov/-/media/Files/Programs/Clean-Energy-Standard/Agreement-Sale-of-ZECs.pdf" TargetMode="External"/><Relationship Id="rId33" Type="http://schemas.openxmlformats.org/officeDocument/2006/relationships/hyperlink" Target="https://www.nyserda.ny.gov/All-Programs/Programs/Clean-Energy-Standard/REC-and-ZEC-Purchasers" TargetMode="External"/><Relationship Id="rId38" Type="http://schemas.openxmlformats.org/officeDocument/2006/relationships/hyperlink" Target="mailto:NYGATS@apx.co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yserda.ny.gov/All-Programs/Programs/NYGATS/How-to-Use" TargetMode="External"/><Relationship Id="rId20" Type="http://schemas.openxmlformats.org/officeDocument/2006/relationships/hyperlink" Target="https://www.nyserda.ny.gov/All-Programs/Programs/Clean-Energy-Standard/Renewable-Generators-and-Developers/RES-Tier-One-Eligibility" TargetMode="External"/><Relationship Id="rId29" Type="http://schemas.openxmlformats.org/officeDocument/2006/relationships/hyperlink" Target="https://www.nyserda.ny.gov/All-Programs/Programs/NYGA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uments.dps.ny.gov/public/Common/ViewDoc.aspx?DocRefId=%7b44C5D5B8-14C3-4F32-8399-F5487D6D8FE8%7d" TargetMode="External"/><Relationship Id="rId24" Type="http://schemas.openxmlformats.org/officeDocument/2006/relationships/image" Target="media/image2.png"/><Relationship Id="rId32" Type="http://schemas.openxmlformats.org/officeDocument/2006/relationships/hyperlink" Target="https://www.nyserda.ny.gov/-/media/Files/Programs/Clean-Energy-Standard/Eligibility-Certification-Guidelines.pdf" TargetMode="External"/><Relationship Id="rId37" Type="http://schemas.openxmlformats.org/officeDocument/2006/relationships/hyperlink" Target="https://www.nyserda.ny.gov/-/media/Files/Programs/Clean-Energy-Standard/2017-Phase2-ImplementationPlan.pdf"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yserda.ny.gov/All-Programs/Programs/NYGATS/Registration-Documents" TargetMode="External"/><Relationship Id="rId23" Type="http://schemas.openxmlformats.org/officeDocument/2006/relationships/hyperlink" Target="https://www.nyserda.ny.gov/-/media/Files/Programs/Clean-Energy-Standard/2017-Phase2-ImplementationPlan.pdf" TargetMode="External"/><Relationship Id="rId28" Type="http://schemas.openxmlformats.org/officeDocument/2006/relationships/hyperlink" Target="https://www.nyserda.ny.gov/All-Programs/Programs/Clean-Energy-Standard/Renewable-Generators-and-Developers/RES-Tier-One-Eligibility" TargetMode="External"/><Relationship Id="rId36" Type="http://schemas.openxmlformats.org/officeDocument/2006/relationships/hyperlink" Target="http://documents.dps.ny.gov/public/Common/ViewDoc.aspx?DocRefId=%7b44C5D5B8-14C3-4F32-8399-F5487D6D8FE8%7d" TargetMode="External"/><Relationship Id="rId10" Type="http://schemas.openxmlformats.org/officeDocument/2006/relationships/endnotes" Target="endnotes.xml"/><Relationship Id="rId19" Type="http://schemas.openxmlformats.org/officeDocument/2006/relationships/hyperlink" Target="https://www.nyserda.ny.gov/-/media/Files/Programs/Clean-Energy-Standard/2017-03-Order-Value-Distributed-Energy-Resources.pdf" TargetMode="External"/><Relationship Id="rId31" Type="http://schemas.openxmlformats.org/officeDocument/2006/relationships/hyperlink" Target="https://www.nyserda.ny.gov/All-Programs/Programs/Clean-Energy-Standard/Renewable-Generators-and-Developers/RES-Tier-One-Eligibility"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serda.ny.gov/All-Programs/Programs/NYGATS/How-to-Use" TargetMode="External"/><Relationship Id="rId22" Type="http://schemas.openxmlformats.org/officeDocument/2006/relationships/image" Target="media/image1.png"/><Relationship Id="rId27" Type="http://schemas.openxmlformats.org/officeDocument/2006/relationships/hyperlink" Target="mailto:NYGATS@apx.com" TargetMode="External"/><Relationship Id="rId30" Type="http://schemas.openxmlformats.org/officeDocument/2006/relationships/hyperlink" Target="http://www3.dps.ny.gov/W/PSCWeb.nsf/0/502EF210A0D15B2885257687006F39D8" TargetMode="External"/><Relationship Id="rId35" Type="http://schemas.openxmlformats.org/officeDocument/2006/relationships/hyperlink" Target="https://www.nyserda.ny.gov/All-Programs/Programs/Clean-Energy-Standard/Important-Orders-Reports-and-Filings"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c3f61a1-4f0a-4c77-91b8-7d0a7460c6ed">
      <UserInfo>
        <DisplayName>Brunner, Marci L (NYSERDA)</DisplayName>
        <AccountId>803</AccountId>
        <AccountType/>
      </UserInfo>
      <UserInfo>
        <DisplayName>Gundrum, Mark R (NYSERDA)</DisplayName>
        <AccountId>806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67D06FE9BA74EA3D2A9CDE6F107CB" ma:contentTypeVersion="4" ma:contentTypeDescription="Create a new document." ma:contentTypeScope="" ma:versionID="46399cba6321e443017d90bf29c9ffca">
  <xsd:schema xmlns:xsd="http://www.w3.org/2001/XMLSchema" xmlns:xs="http://www.w3.org/2001/XMLSchema" xmlns:p="http://schemas.microsoft.com/office/2006/metadata/properties" xmlns:ns2="943cbe31-02bd-43e1-86d5-aaf93266f1fb" xmlns:ns3="0c3f61a1-4f0a-4c77-91b8-7d0a7460c6ed" targetNamespace="http://schemas.microsoft.com/office/2006/metadata/properties" ma:root="true" ma:fieldsID="791790102b9c65697004132f0fa7d2f8" ns2:_="" ns3:_="">
    <xsd:import namespace="943cbe31-02bd-43e1-86d5-aaf93266f1fb"/>
    <xsd:import namespace="0c3f61a1-4f0a-4c77-91b8-7d0a7460c6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cbe31-02bd-43e1-86d5-aaf93266f1f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3f61a1-4f0a-4c77-91b8-7d0a7460c6e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33A0F5A-C446-492F-B625-46EEF24791DE}">
  <ds:schemaRefs>
    <ds:schemaRef ds:uri="http://schemas.microsoft.com/sharepoint/v3/contenttype/forms"/>
  </ds:schemaRefs>
</ds:datastoreItem>
</file>

<file path=customXml/itemProps2.xml><?xml version="1.0" encoding="utf-8"?>
<ds:datastoreItem xmlns:ds="http://schemas.openxmlformats.org/officeDocument/2006/customXml" ds:itemID="{C9E7A86D-69C5-49AD-B7FA-5C056495BA81}">
  <ds:schemaRefs>
    <ds:schemaRef ds:uri="http://schemas.microsoft.com/office/2006/metadata/properties"/>
    <ds:schemaRef ds:uri="0c3f61a1-4f0a-4c77-91b8-7d0a7460c6e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43cbe31-02bd-43e1-86d5-aaf93266f1fb"/>
    <ds:schemaRef ds:uri="http://www.w3.org/XML/1998/namespace"/>
    <ds:schemaRef ds:uri="http://purl.org/dc/dcmitype/"/>
  </ds:schemaRefs>
</ds:datastoreItem>
</file>

<file path=customXml/itemProps3.xml><?xml version="1.0" encoding="utf-8"?>
<ds:datastoreItem xmlns:ds="http://schemas.openxmlformats.org/officeDocument/2006/customXml" ds:itemID="{62053DF1-7086-48C0-95DB-3F8BC62F6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cbe31-02bd-43e1-86d5-aaf93266f1fb"/>
    <ds:schemaRef ds:uri="0c3f61a1-4f0a-4c77-91b8-7d0a7460c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59EB1-34BF-44E2-B71B-BA203EB8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4299</Words>
  <Characters>24509</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Clean Energy Standard (CES) Compliance</vt:lpstr>
    </vt:vector>
  </TitlesOfParts>
  <Company>Large-Scale Renewables</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Energy Standard (CES) Compliance</dc:title>
  <dc:subject>A Guidance Document for Load-Serving Entities</dc:subject>
  <dc:creator>Kate Daniel</dc:creator>
  <cp:keywords/>
  <dc:description/>
  <cp:lastModifiedBy>Gundrum, Mark R (NYSERDA)</cp:lastModifiedBy>
  <cp:revision>2</cp:revision>
  <cp:lastPrinted>2018-04-10T12:21:00Z</cp:lastPrinted>
  <dcterms:created xsi:type="dcterms:W3CDTF">2018-04-27T13:00:00Z</dcterms:created>
  <dcterms:modified xsi:type="dcterms:W3CDTF">2018-04-27T13:00:00Z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0x0101009DF67D06FE9BA74EA3D2A9CDE6F107CB</vt:lpwstr>
  </property>
</Properties>
</file>