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78D3" w14:textId="3BDA5DE2" w:rsidR="00A429B0" w:rsidRPr="001F22F2" w:rsidRDefault="002F53C3">
      <w:pPr>
        <w:pStyle w:val="BodyText"/>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43508E21" wp14:editId="57B8CE82">
            <wp:simplePos x="0" y="0"/>
            <wp:positionH relativeFrom="page">
              <wp:align>left</wp:align>
            </wp:positionH>
            <wp:positionV relativeFrom="paragraph">
              <wp:posOffset>0</wp:posOffset>
            </wp:positionV>
            <wp:extent cx="7816850" cy="1139957"/>
            <wp:effectExtent l="0" t="0" r="0" b="3175"/>
            <wp:wrapTight wrapText="bothSides">
              <wp:wrapPolygon edited="0">
                <wp:start x="0" y="0"/>
                <wp:lineTo x="0" y="21299"/>
                <wp:lineTo x="21530" y="21299"/>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 Header.jpg"/>
                    <pic:cNvPicPr/>
                  </pic:nvPicPr>
                  <pic:blipFill rotWithShape="1">
                    <a:blip r:embed="rId5" cstate="print">
                      <a:extLst>
                        <a:ext uri="{28A0092B-C50C-407E-A947-70E740481C1C}">
                          <a14:useLocalDpi xmlns:a14="http://schemas.microsoft.com/office/drawing/2010/main" val="0"/>
                        </a:ext>
                      </a:extLst>
                    </a:blip>
                    <a:srcRect b="88730"/>
                    <a:stretch/>
                  </pic:blipFill>
                  <pic:spPr bwMode="auto">
                    <a:xfrm>
                      <a:off x="0" y="0"/>
                      <a:ext cx="7816850" cy="1139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BD2ED7" w14:textId="77777777" w:rsidR="00A429B0" w:rsidRPr="001F22F2" w:rsidRDefault="00A429B0">
      <w:pPr>
        <w:pStyle w:val="BodyText"/>
        <w:spacing w:before="2"/>
        <w:rPr>
          <w:rFonts w:asciiTheme="minorHAnsi" w:hAnsiTheme="minorHAnsi"/>
        </w:rPr>
      </w:pPr>
    </w:p>
    <w:p w14:paraId="58BAAF11" w14:textId="51D97D0D" w:rsidR="00A429B0" w:rsidRPr="001F22F2" w:rsidRDefault="00797687">
      <w:pPr>
        <w:pStyle w:val="BodyText"/>
        <w:spacing w:before="60"/>
        <w:ind w:left="240"/>
        <w:rPr>
          <w:rFonts w:asciiTheme="minorHAnsi" w:hAnsiTheme="minorHAnsi"/>
        </w:rPr>
      </w:pPr>
      <w:r w:rsidRPr="001F22F2">
        <w:rPr>
          <w:rFonts w:asciiTheme="minorHAnsi" w:hAnsiTheme="minorHAnsi"/>
        </w:rPr>
        <w:t>Applicable Codes: NEC 2017,</w:t>
      </w:r>
      <w:r w:rsidR="000637EE">
        <w:rPr>
          <w:rFonts w:asciiTheme="minorHAnsi" w:hAnsiTheme="minorHAnsi"/>
        </w:rPr>
        <w:t xml:space="preserve"> </w:t>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r w:rsidR="000637EE">
        <w:rPr>
          <w:rFonts w:asciiTheme="minorHAnsi" w:hAnsiTheme="minorHAnsi"/>
        </w:rPr>
        <w:softHyphen/>
      </w:r>
    </w:p>
    <w:p w14:paraId="0CDB0B87" w14:textId="77777777" w:rsidR="00A429B0" w:rsidRPr="001F22F2" w:rsidRDefault="00797687">
      <w:pPr>
        <w:pStyle w:val="BodyText"/>
        <w:spacing w:before="196" w:line="276" w:lineRule="auto"/>
        <w:ind w:left="240"/>
        <w:rPr>
          <w:rFonts w:asciiTheme="minorHAnsi" w:hAnsiTheme="minorHAnsi"/>
        </w:rPr>
      </w:pPr>
      <w:r w:rsidRPr="001F22F2">
        <w:rPr>
          <w:rFonts w:asciiTheme="minorHAnsi" w:hAnsiTheme="minorHAnsi"/>
          <w:w w:val="95"/>
        </w:rPr>
        <w:t>The</w:t>
      </w:r>
      <w:r w:rsidRPr="001F22F2">
        <w:rPr>
          <w:rFonts w:asciiTheme="minorHAnsi" w:hAnsiTheme="minorHAnsi"/>
          <w:spacing w:val="-20"/>
          <w:w w:val="95"/>
        </w:rPr>
        <w:t xml:space="preserve"> </w:t>
      </w:r>
      <w:r w:rsidRPr="001F22F2">
        <w:rPr>
          <w:rFonts w:asciiTheme="minorHAnsi" w:hAnsiTheme="minorHAnsi"/>
          <w:w w:val="95"/>
        </w:rPr>
        <w:t>information</w:t>
      </w:r>
      <w:r w:rsidRPr="001F22F2">
        <w:rPr>
          <w:rFonts w:asciiTheme="minorHAnsi" w:hAnsiTheme="minorHAnsi"/>
          <w:spacing w:val="-20"/>
          <w:w w:val="95"/>
        </w:rPr>
        <w:t xml:space="preserve"> </w:t>
      </w:r>
      <w:r w:rsidRPr="001F22F2">
        <w:rPr>
          <w:rFonts w:asciiTheme="minorHAnsi" w:hAnsiTheme="minorHAnsi"/>
          <w:w w:val="95"/>
        </w:rPr>
        <w:t>provided</w:t>
      </w:r>
      <w:r w:rsidRPr="001F22F2">
        <w:rPr>
          <w:rFonts w:asciiTheme="minorHAnsi" w:hAnsiTheme="minorHAnsi"/>
          <w:spacing w:val="-19"/>
          <w:w w:val="95"/>
        </w:rPr>
        <w:t xml:space="preserve"> </w:t>
      </w:r>
      <w:r w:rsidRPr="001F22F2">
        <w:rPr>
          <w:rFonts w:asciiTheme="minorHAnsi" w:hAnsiTheme="minorHAnsi"/>
          <w:w w:val="95"/>
        </w:rPr>
        <w:t>in</w:t>
      </w:r>
      <w:r w:rsidRPr="001F22F2">
        <w:rPr>
          <w:rFonts w:asciiTheme="minorHAnsi" w:hAnsiTheme="minorHAnsi"/>
          <w:spacing w:val="-20"/>
          <w:w w:val="95"/>
        </w:rPr>
        <w:t xml:space="preserve"> </w:t>
      </w:r>
      <w:r w:rsidRPr="001F22F2">
        <w:rPr>
          <w:rFonts w:asciiTheme="minorHAnsi" w:hAnsiTheme="minorHAnsi"/>
          <w:w w:val="95"/>
        </w:rPr>
        <w:t>this</w:t>
      </w:r>
      <w:r w:rsidRPr="001F22F2">
        <w:rPr>
          <w:rFonts w:asciiTheme="minorHAnsi" w:hAnsiTheme="minorHAnsi"/>
          <w:spacing w:val="-20"/>
          <w:w w:val="95"/>
        </w:rPr>
        <w:t xml:space="preserve"> </w:t>
      </w:r>
      <w:r w:rsidRPr="001F22F2">
        <w:rPr>
          <w:rFonts w:asciiTheme="minorHAnsi" w:hAnsiTheme="minorHAnsi"/>
          <w:w w:val="95"/>
        </w:rPr>
        <w:t>document</w:t>
      </w:r>
      <w:r w:rsidRPr="001F22F2">
        <w:rPr>
          <w:rFonts w:asciiTheme="minorHAnsi" w:hAnsiTheme="minorHAnsi"/>
          <w:spacing w:val="-20"/>
          <w:w w:val="95"/>
        </w:rPr>
        <w:t xml:space="preserve"> </w:t>
      </w:r>
      <w:r w:rsidRPr="001F22F2">
        <w:rPr>
          <w:rFonts w:asciiTheme="minorHAnsi" w:hAnsiTheme="minorHAnsi"/>
          <w:w w:val="95"/>
        </w:rPr>
        <w:t>is</w:t>
      </w:r>
      <w:r w:rsidRPr="001F22F2">
        <w:rPr>
          <w:rFonts w:asciiTheme="minorHAnsi" w:hAnsiTheme="minorHAnsi"/>
          <w:spacing w:val="-19"/>
          <w:w w:val="95"/>
        </w:rPr>
        <w:t xml:space="preserve"> </w:t>
      </w:r>
      <w:r w:rsidRPr="001F22F2">
        <w:rPr>
          <w:rFonts w:asciiTheme="minorHAnsi" w:hAnsiTheme="minorHAnsi"/>
          <w:w w:val="95"/>
        </w:rPr>
        <w:t>general</w:t>
      </w:r>
      <w:r w:rsidRPr="001F22F2">
        <w:rPr>
          <w:rFonts w:asciiTheme="minorHAnsi" w:hAnsiTheme="minorHAnsi"/>
          <w:spacing w:val="-22"/>
          <w:w w:val="95"/>
        </w:rPr>
        <w:t xml:space="preserve"> </w:t>
      </w:r>
      <w:r w:rsidRPr="001F22F2">
        <w:rPr>
          <w:rFonts w:asciiTheme="minorHAnsi" w:hAnsiTheme="minorHAnsi"/>
          <w:w w:val="95"/>
        </w:rPr>
        <w:t>and</w:t>
      </w:r>
      <w:r w:rsidRPr="001F22F2">
        <w:rPr>
          <w:rFonts w:asciiTheme="minorHAnsi" w:hAnsiTheme="minorHAnsi"/>
          <w:spacing w:val="-20"/>
          <w:w w:val="95"/>
        </w:rPr>
        <w:t xml:space="preserve"> </w:t>
      </w:r>
      <w:r w:rsidRPr="001F22F2">
        <w:rPr>
          <w:rFonts w:asciiTheme="minorHAnsi" w:hAnsiTheme="minorHAnsi"/>
          <w:w w:val="95"/>
        </w:rPr>
        <w:t>intended</w:t>
      </w:r>
      <w:r w:rsidRPr="001F22F2">
        <w:rPr>
          <w:rFonts w:asciiTheme="minorHAnsi" w:hAnsiTheme="minorHAnsi"/>
          <w:spacing w:val="-20"/>
          <w:w w:val="95"/>
        </w:rPr>
        <w:t xml:space="preserve"> </w:t>
      </w:r>
      <w:r w:rsidRPr="001F22F2">
        <w:rPr>
          <w:rFonts w:asciiTheme="minorHAnsi" w:hAnsiTheme="minorHAnsi"/>
          <w:w w:val="95"/>
        </w:rPr>
        <w:t>as</w:t>
      </w:r>
      <w:r w:rsidRPr="001F22F2">
        <w:rPr>
          <w:rFonts w:asciiTheme="minorHAnsi" w:hAnsiTheme="minorHAnsi"/>
          <w:spacing w:val="-19"/>
          <w:w w:val="95"/>
        </w:rPr>
        <w:t xml:space="preserve"> </w:t>
      </w:r>
      <w:r w:rsidRPr="001F22F2">
        <w:rPr>
          <w:rFonts w:asciiTheme="minorHAnsi" w:hAnsiTheme="minorHAnsi"/>
          <w:w w:val="95"/>
        </w:rPr>
        <w:t>a</w:t>
      </w:r>
      <w:r w:rsidRPr="001F22F2">
        <w:rPr>
          <w:rFonts w:asciiTheme="minorHAnsi" w:hAnsiTheme="minorHAnsi"/>
          <w:spacing w:val="-21"/>
          <w:w w:val="95"/>
        </w:rPr>
        <w:t xml:space="preserve"> </w:t>
      </w:r>
      <w:r w:rsidRPr="001F22F2">
        <w:rPr>
          <w:rFonts w:asciiTheme="minorHAnsi" w:hAnsiTheme="minorHAnsi"/>
          <w:w w:val="95"/>
        </w:rPr>
        <w:t>guide</w:t>
      </w:r>
      <w:r w:rsidRPr="001F22F2">
        <w:rPr>
          <w:rFonts w:asciiTheme="minorHAnsi" w:hAnsiTheme="minorHAnsi"/>
          <w:spacing w:val="-20"/>
          <w:w w:val="95"/>
        </w:rPr>
        <w:t xml:space="preserve"> </w:t>
      </w:r>
      <w:r w:rsidRPr="001F22F2">
        <w:rPr>
          <w:rFonts w:asciiTheme="minorHAnsi" w:hAnsiTheme="minorHAnsi"/>
          <w:w w:val="95"/>
        </w:rPr>
        <w:t>only.</w:t>
      </w:r>
      <w:r w:rsidRPr="001F22F2">
        <w:rPr>
          <w:rFonts w:asciiTheme="minorHAnsi" w:hAnsiTheme="minorHAnsi"/>
          <w:spacing w:val="-19"/>
          <w:w w:val="95"/>
        </w:rPr>
        <w:t xml:space="preserve"> </w:t>
      </w:r>
      <w:r w:rsidRPr="001F22F2">
        <w:rPr>
          <w:rFonts w:asciiTheme="minorHAnsi" w:hAnsiTheme="minorHAnsi"/>
          <w:w w:val="95"/>
        </w:rPr>
        <w:t>Each</w:t>
      </w:r>
      <w:r w:rsidRPr="001F22F2">
        <w:rPr>
          <w:rFonts w:asciiTheme="minorHAnsi" w:hAnsiTheme="minorHAnsi"/>
          <w:spacing w:val="-20"/>
          <w:w w:val="95"/>
        </w:rPr>
        <w:t xml:space="preserve"> </w:t>
      </w:r>
      <w:r w:rsidRPr="001F22F2">
        <w:rPr>
          <w:rFonts w:asciiTheme="minorHAnsi" w:hAnsiTheme="minorHAnsi"/>
          <w:w w:val="95"/>
        </w:rPr>
        <w:t>project</w:t>
      </w:r>
      <w:r w:rsidRPr="001F22F2">
        <w:rPr>
          <w:rFonts w:asciiTheme="minorHAnsi" w:hAnsiTheme="minorHAnsi"/>
          <w:spacing w:val="-20"/>
          <w:w w:val="95"/>
        </w:rPr>
        <w:t xml:space="preserve"> </w:t>
      </w:r>
      <w:r w:rsidRPr="001F22F2">
        <w:rPr>
          <w:rFonts w:asciiTheme="minorHAnsi" w:hAnsiTheme="minorHAnsi"/>
          <w:w w:val="95"/>
        </w:rPr>
        <w:t>is</w:t>
      </w:r>
      <w:r w:rsidRPr="001F22F2">
        <w:rPr>
          <w:rFonts w:asciiTheme="minorHAnsi" w:hAnsiTheme="minorHAnsi"/>
          <w:spacing w:val="-19"/>
          <w:w w:val="95"/>
        </w:rPr>
        <w:t xml:space="preserve"> </w:t>
      </w:r>
      <w:r w:rsidRPr="001F22F2">
        <w:rPr>
          <w:rFonts w:asciiTheme="minorHAnsi" w:hAnsiTheme="minorHAnsi"/>
          <w:w w:val="95"/>
        </w:rPr>
        <w:t>unique</w:t>
      </w:r>
      <w:r w:rsidRPr="001F22F2">
        <w:rPr>
          <w:rFonts w:asciiTheme="minorHAnsi" w:hAnsiTheme="minorHAnsi"/>
          <w:spacing w:val="-19"/>
          <w:w w:val="95"/>
        </w:rPr>
        <w:t xml:space="preserve"> </w:t>
      </w:r>
      <w:r w:rsidRPr="001F22F2">
        <w:rPr>
          <w:rFonts w:asciiTheme="minorHAnsi" w:hAnsiTheme="minorHAnsi"/>
          <w:w w:val="95"/>
        </w:rPr>
        <w:t>and</w:t>
      </w:r>
      <w:r w:rsidRPr="001F22F2">
        <w:rPr>
          <w:rFonts w:asciiTheme="minorHAnsi" w:hAnsiTheme="minorHAnsi"/>
          <w:spacing w:val="-20"/>
          <w:w w:val="95"/>
        </w:rPr>
        <w:t xml:space="preserve"> </w:t>
      </w:r>
      <w:r w:rsidRPr="001F22F2">
        <w:rPr>
          <w:rFonts w:asciiTheme="minorHAnsi" w:hAnsiTheme="minorHAnsi"/>
          <w:w w:val="95"/>
        </w:rPr>
        <w:t xml:space="preserve">additional </w:t>
      </w:r>
      <w:r w:rsidRPr="001F22F2">
        <w:rPr>
          <w:rFonts w:asciiTheme="minorHAnsi" w:hAnsiTheme="minorHAnsi"/>
        </w:rPr>
        <w:t>requirements</w:t>
      </w:r>
      <w:r w:rsidRPr="001F22F2">
        <w:rPr>
          <w:rFonts w:asciiTheme="minorHAnsi" w:hAnsiTheme="minorHAnsi"/>
          <w:spacing w:val="-17"/>
        </w:rPr>
        <w:t xml:space="preserve"> </w:t>
      </w:r>
      <w:r w:rsidRPr="001F22F2">
        <w:rPr>
          <w:rFonts w:asciiTheme="minorHAnsi" w:hAnsiTheme="minorHAnsi"/>
        </w:rPr>
        <w:t>may</w:t>
      </w:r>
      <w:r w:rsidRPr="001F22F2">
        <w:rPr>
          <w:rFonts w:asciiTheme="minorHAnsi" w:hAnsiTheme="minorHAnsi"/>
          <w:spacing w:val="-13"/>
        </w:rPr>
        <w:t xml:space="preserve"> </w:t>
      </w:r>
      <w:r w:rsidRPr="001F22F2">
        <w:rPr>
          <w:rFonts w:asciiTheme="minorHAnsi" w:hAnsiTheme="minorHAnsi"/>
        </w:rPr>
        <w:t>be</w:t>
      </w:r>
      <w:r w:rsidRPr="001F22F2">
        <w:rPr>
          <w:rFonts w:asciiTheme="minorHAnsi" w:hAnsiTheme="minorHAnsi"/>
          <w:spacing w:val="-16"/>
        </w:rPr>
        <w:t xml:space="preserve"> </w:t>
      </w:r>
      <w:r w:rsidRPr="001F22F2">
        <w:rPr>
          <w:rFonts w:asciiTheme="minorHAnsi" w:hAnsiTheme="minorHAnsi"/>
        </w:rPr>
        <w:t>enforced</w:t>
      </w:r>
      <w:r w:rsidRPr="001F22F2">
        <w:rPr>
          <w:rFonts w:asciiTheme="minorHAnsi" w:hAnsiTheme="minorHAnsi"/>
          <w:spacing w:val="-15"/>
        </w:rPr>
        <w:t xml:space="preserve"> </w:t>
      </w:r>
      <w:r w:rsidRPr="001F22F2">
        <w:rPr>
          <w:rFonts w:asciiTheme="minorHAnsi" w:hAnsiTheme="minorHAnsi"/>
        </w:rPr>
        <w:t>as</w:t>
      </w:r>
      <w:r w:rsidRPr="001F22F2">
        <w:rPr>
          <w:rFonts w:asciiTheme="minorHAnsi" w:hAnsiTheme="minorHAnsi"/>
          <w:spacing w:val="-14"/>
        </w:rPr>
        <w:t xml:space="preserve"> </w:t>
      </w:r>
      <w:r w:rsidRPr="001F22F2">
        <w:rPr>
          <w:rFonts w:asciiTheme="minorHAnsi" w:hAnsiTheme="minorHAnsi"/>
        </w:rPr>
        <w:t>deemed</w:t>
      </w:r>
      <w:r w:rsidRPr="001F22F2">
        <w:rPr>
          <w:rFonts w:asciiTheme="minorHAnsi" w:hAnsiTheme="minorHAnsi"/>
          <w:spacing w:val="-15"/>
        </w:rPr>
        <w:t xml:space="preserve"> </w:t>
      </w:r>
      <w:r w:rsidRPr="001F22F2">
        <w:rPr>
          <w:rFonts w:asciiTheme="minorHAnsi" w:hAnsiTheme="minorHAnsi"/>
        </w:rPr>
        <w:t>appropriate.</w:t>
      </w:r>
    </w:p>
    <w:p w14:paraId="4A55E02E" w14:textId="77777777" w:rsidR="00A429B0" w:rsidRPr="001F22F2" w:rsidRDefault="00A429B0">
      <w:pPr>
        <w:pStyle w:val="BodyText"/>
        <w:rPr>
          <w:rFonts w:asciiTheme="minorHAnsi" w:hAnsiTheme="minorHAnsi"/>
        </w:rPr>
      </w:pPr>
      <w:bookmarkStart w:id="0" w:name="_GoBack"/>
      <w:bookmarkEnd w:id="0"/>
    </w:p>
    <w:p w14:paraId="5B863002" w14:textId="60D7DEDB" w:rsidR="00A429B0" w:rsidRPr="001F22F2" w:rsidRDefault="00971DBA">
      <w:pPr>
        <w:pStyle w:val="BodyText"/>
        <w:spacing w:before="10"/>
        <w:rPr>
          <w:rFonts w:asciiTheme="minorHAnsi" w:hAnsiTheme="minorHAnsi"/>
        </w:rPr>
      </w:pPr>
      <w:r>
        <w:rPr>
          <w:rFonts w:asciiTheme="minorHAnsi" w:hAnsiTheme="minorHAnsi"/>
          <w:noProof/>
        </w:rPr>
        <mc:AlternateContent>
          <mc:Choice Requires="wps">
            <w:drawing>
              <wp:inline distT="0" distB="0" distL="0" distR="0" wp14:anchorId="24D1A1D0" wp14:editId="762D1885">
                <wp:extent cx="6894830" cy="0"/>
                <wp:effectExtent l="0" t="0" r="0" b="0"/>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6F0797" id="Line 2" o:spid="_x0000_s1026" style="visibility:visible;mso-wrap-style:square;mso-left-percent:-10001;mso-top-percent:-10001;mso-position-horizontal:absolute;mso-position-horizontal-relative:char;mso-position-vertical:absolute;mso-position-vertical-relative:line;mso-left-percent:-10001;mso-top-percent:-10001" from="0,0" to="5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" strokeweight=".72pt">
                <w10:anchorlock/>
              </v:line>
            </w:pict>
          </mc:Fallback>
        </mc:AlternateContent>
      </w:r>
    </w:p>
    <w:p w14:paraId="45EC9AC3" w14:textId="77777777" w:rsidR="00A429B0" w:rsidRPr="001F22F2" w:rsidRDefault="00A429B0">
      <w:pPr>
        <w:pStyle w:val="BodyText"/>
        <w:spacing w:before="4"/>
        <w:rPr>
          <w:rFonts w:asciiTheme="minorHAnsi" w:hAnsiTheme="minorHAnsi"/>
        </w:rPr>
      </w:pPr>
    </w:p>
    <w:tbl>
      <w:tblPr>
        <w:tblStyle w:val="TableGrid"/>
        <w:tblW w:w="0" w:type="auto"/>
        <w:tblLayout w:type="fixed"/>
        <w:tblLook w:val="01E0" w:firstRow="1" w:lastRow="1" w:firstColumn="1" w:lastColumn="1" w:noHBand="0" w:noVBand="0"/>
      </w:tblPr>
      <w:tblGrid>
        <w:gridCol w:w="2066"/>
        <w:gridCol w:w="8728"/>
      </w:tblGrid>
      <w:tr w:rsidR="00A429B0" w:rsidRPr="001F22F2" w14:paraId="3255FB9A" w14:textId="77777777" w:rsidTr="00D3198B">
        <w:trPr>
          <w:trHeight w:val="270"/>
        </w:trPr>
        <w:tc>
          <w:tcPr>
            <w:tcW w:w="10794" w:type="dxa"/>
            <w:gridSpan w:val="2"/>
          </w:tcPr>
          <w:p w14:paraId="20FA031C" w14:textId="77777777" w:rsidR="00A429B0" w:rsidRPr="001F22F2" w:rsidRDefault="00797687">
            <w:pPr>
              <w:pStyle w:val="TableParagraph"/>
              <w:spacing w:before="4" w:line="246" w:lineRule="exact"/>
              <w:ind w:left="107"/>
              <w:rPr>
                <w:rFonts w:asciiTheme="minorHAnsi" w:hAnsiTheme="minorHAnsi"/>
                <w:b/>
              </w:rPr>
            </w:pPr>
            <w:r w:rsidRPr="001F22F2">
              <w:rPr>
                <w:rFonts w:asciiTheme="minorHAnsi" w:hAnsiTheme="minorHAnsi"/>
                <w:b/>
              </w:rPr>
              <w:t>Project Information</w:t>
            </w:r>
          </w:p>
        </w:tc>
      </w:tr>
      <w:tr w:rsidR="00A429B0" w:rsidRPr="001F22F2" w14:paraId="55E27801" w14:textId="77777777" w:rsidTr="00D3198B">
        <w:trPr>
          <w:trHeight w:val="268"/>
        </w:trPr>
        <w:tc>
          <w:tcPr>
            <w:tcW w:w="2066" w:type="dxa"/>
          </w:tcPr>
          <w:p w14:paraId="27A1FFCA"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Permit Number</w:t>
            </w:r>
          </w:p>
        </w:tc>
        <w:tc>
          <w:tcPr>
            <w:tcW w:w="8728" w:type="dxa"/>
          </w:tcPr>
          <w:p w14:paraId="0CDEAEBE" w14:textId="77777777" w:rsidR="00A429B0" w:rsidRPr="001F22F2" w:rsidRDefault="00A429B0">
            <w:pPr>
              <w:pStyle w:val="TableParagraph"/>
              <w:spacing w:before="0"/>
              <w:ind w:left="0"/>
              <w:rPr>
                <w:rFonts w:asciiTheme="minorHAnsi" w:hAnsiTheme="minorHAnsi"/>
              </w:rPr>
            </w:pPr>
          </w:p>
        </w:tc>
      </w:tr>
      <w:tr w:rsidR="00A429B0" w:rsidRPr="001F22F2" w14:paraId="429B124B" w14:textId="77777777" w:rsidTr="00D3198B">
        <w:trPr>
          <w:trHeight w:val="268"/>
        </w:trPr>
        <w:tc>
          <w:tcPr>
            <w:tcW w:w="2066" w:type="dxa"/>
          </w:tcPr>
          <w:p w14:paraId="6C22950E"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w w:val="95"/>
              </w:rPr>
              <w:t>Primary Contractor</w:t>
            </w:r>
          </w:p>
        </w:tc>
        <w:tc>
          <w:tcPr>
            <w:tcW w:w="8728" w:type="dxa"/>
          </w:tcPr>
          <w:p w14:paraId="05BD19FF" w14:textId="77777777" w:rsidR="00A429B0" w:rsidRPr="001F22F2" w:rsidRDefault="00A429B0">
            <w:pPr>
              <w:pStyle w:val="TableParagraph"/>
              <w:spacing w:before="0"/>
              <w:ind w:left="0"/>
              <w:rPr>
                <w:rFonts w:asciiTheme="minorHAnsi" w:hAnsiTheme="minorHAnsi"/>
              </w:rPr>
            </w:pPr>
          </w:p>
        </w:tc>
      </w:tr>
      <w:tr w:rsidR="00A429B0" w:rsidRPr="001F22F2" w14:paraId="27BA1314" w14:textId="77777777" w:rsidTr="00D3198B">
        <w:trPr>
          <w:trHeight w:val="268"/>
        </w:trPr>
        <w:tc>
          <w:tcPr>
            <w:tcW w:w="2066" w:type="dxa"/>
          </w:tcPr>
          <w:p w14:paraId="5219AC19"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Project Address</w:t>
            </w:r>
          </w:p>
        </w:tc>
        <w:tc>
          <w:tcPr>
            <w:tcW w:w="8728" w:type="dxa"/>
          </w:tcPr>
          <w:p w14:paraId="3DEC27A7" w14:textId="77777777" w:rsidR="00A429B0" w:rsidRPr="001F22F2" w:rsidRDefault="00A429B0">
            <w:pPr>
              <w:pStyle w:val="TableParagraph"/>
              <w:spacing w:before="0"/>
              <w:ind w:left="0"/>
              <w:rPr>
                <w:rFonts w:asciiTheme="minorHAnsi" w:hAnsiTheme="minorHAnsi"/>
              </w:rPr>
            </w:pPr>
          </w:p>
        </w:tc>
      </w:tr>
      <w:tr w:rsidR="00A429B0" w:rsidRPr="001F22F2" w14:paraId="570EA99E" w14:textId="77777777" w:rsidTr="00D3198B">
        <w:trPr>
          <w:trHeight w:val="268"/>
        </w:trPr>
        <w:tc>
          <w:tcPr>
            <w:tcW w:w="2066" w:type="dxa"/>
          </w:tcPr>
          <w:p w14:paraId="287A9ED7"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Date</w:t>
            </w:r>
          </w:p>
        </w:tc>
        <w:tc>
          <w:tcPr>
            <w:tcW w:w="8728" w:type="dxa"/>
          </w:tcPr>
          <w:p w14:paraId="032C56E8" w14:textId="77777777" w:rsidR="00A429B0" w:rsidRPr="001F22F2" w:rsidRDefault="00A429B0">
            <w:pPr>
              <w:pStyle w:val="TableParagraph"/>
              <w:spacing w:before="0"/>
              <w:ind w:left="0"/>
              <w:rPr>
                <w:rFonts w:asciiTheme="minorHAnsi" w:hAnsiTheme="minorHAnsi"/>
              </w:rPr>
            </w:pPr>
          </w:p>
        </w:tc>
      </w:tr>
    </w:tbl>
    <w:p w14:paraId="688DFA19" w14:textId="77777777" w:rsidR="00A429B0" w:rsidRPr="001F22F2" w:rsidRDefault="00A429B0">
      <w:pPr>
        <w:pStyle w:val="BodyText"/>
        <w:rPr>
          <w:rFonts w:asciiTheme="minorHAnsi" w:hAnsiTheme="minorHAnsi"/>
        </w:rPr>
      </w:pPr>
    </w:p>
    <w:p w14:paraId="29C090E9" w14:textId="77777777" w:rsidR="00A429B0" w:rsidRPr="001F22F2" w:rsidRDefault="00A429B0">
      <w:pPr>
        <w:pStyle w:val="BodyText"/>
        <w:rPr>
          <w:rFonts w:asciiTheme="minorHAnsi" w:hAnsiTheme="minorHAnsi"/>
        </w:rPr>
      </w:pPr>
    </w:p>
    <w:tbl>
      <w:tblPr>
        <w:tblStyle w:val="TableGrid"/>
        <w:tblW w:w="0" w:type="auto"/>
        <w:tblLayout w:type="fixed"/>
        <w:tblLook w:val="01E0" w:firstRow="1" w:lastRow="1" w:firstColumn="1" w:lastColumn="1" w:noHBand="0" w:noVBand="0"/>
      </w:tblPr>
      <w:tblGrid>
        <w:gridCol w:w="626"/>
        <w:gridCol w:w="10168"/>
      </w:tblGrid>
      <w:tr w:rsidR="00A429B0" w:rsidRPr="001F22F2" w14:paraId="746072BC" w14:textId="77777777" w:rsidTr="00D3198B">
        <w:trPr>
          <w:trHeight w:val="268"/>
        </w:trPr>
        <w:tc>
          <w:tcPr>
            <w:tcW w:w="10794" w:type="dxa"/>
            <w:gridSpan w:val="2"/>
          </w:tcPr>
          <w:p w14:paraId="5B840FD6"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Pre-Inspection</w:t>
            </w:r>
          </w:p>
        </w:tc>
      </w:tr>
      <w:tr w:rsidR="00A429B0" w:rsidRPr="001F22F2" w14:paraId="6378317E" w14:textId="77777777" w:rsidTr="00D3198B">
        <w:trPr>
          <w:trHeight w:val="537"/>
        </w:trPr>
        <w:tc>
          <w:tcPr>
            <w:tcW w:w="626" w:type="dxa"/>
          </w:tcPr>
          <w:p w14:paraId="331E8903" w14:textId="77777777" w:rsidR="00A429B0" w:rsidRPr="001F22F2" w:rsidRDefault="00A429B0">
            <w:pPr>
              <w:pStyle w:val="TableParagraph"/>
              <w:spacing w:before="0"/>
              <w:ind w:left="0"/>
              <w:rPr>
                <w:rFonts w:asciiTheme="minorHAnsi" w:hAnsiTheme="minorHAnsi"/>
              </w:rPr>
            </w:pPr>
          </w:p>
        </w:tc>
        <w:tc>
          <w:tcPr>
            <w:tcW w:w="10168" w:type="dxa"/>
          </w:tcPr>
          <w:p w14:paraId="357B1587" w14:textId="77777777" w:rsidR="00A429B0" w:rsidRPr="00C7550F" w:rsidRDefault="00797687" w:rsidP="00C7550F">
            <w:pPr>
              <w:rPr>
                <w:rFonts w:asciiTheme="minorHAnsi" w:hAnsiTheme="minorHAnsi"/>
              </w:rPr>
            </w:pPr>
            <w:r w:rsidRPr="00C7550F">
              <w:rPr>
                <w:rFonts w:asciiTheme="minorHAnsi" w:hAnsiTheme="minorHAnsi"/>
              </w:rPr>
              <w:t xml:space="preserve">De-energize electrical panels prior to removing the </w:t>
            </w:r>
            <w:proofErr w:type="gramStart"/>
            <w:r w:rsidRPr="00C7550F">
              <w:rPr>
                <w:rFonts w:asciiTheme="minorHAnsi" w:hAnsiTheme="minorHAnsi"/>
              </w:rPr>
              <w:t>dead-front</w:t>
            </w:r>
            <w:proofErr w:type="gramEnd"/>
            <w:r w:rsidRPr="00C7550F">
              <w:rPr>
                <w:rFonts w:asciiTheme="minorHAnsi" w:hAnsiTheme="minorHAnsi"/>
              </w:rPr>
              <w:t>. All equipment shall be open and ready for</w:t>
            </w:r>
          </w:p>
          <w:p w14:paraId="4DF5A2ED" w14:textId="77777777" w:rsidR="00A429B0" w:rsidRPr="00C7550F" w:rsidRDefault="00797687" w:rsidP="00C7550F">
            <w:pPr>
              <w:rPr>
                <w:rFonts w:asciiTheme="minorHAnsi" w:hAnsiTheme="minorHAnsi"/>
              </w:rPr>
            </w:pPr>
            <w:r w:rsidRPr="00C7550F">
              <w:rPr>
                <w:rFonts w:asciiTheme="minorHAnsi" w:hAnsiTheme="minorHAnsi"/>
              </w:rPr>
              <w:t>inspection</w:t>
            </w:r>
          </w:p>
        </w:tc>
      </w:tr>
      <w:tr w:rsidR="00A429B0" w:rsidRPr="001F22F2" w14:paraId="7266E1D9" w14:textId="77777777" w:rsidTr="00D3198B">
        <w:trPr>
          <w:trHeight w:val="268"/>
        </w:trPr>
        <w:tc>
          <w:tcPr>
            <w:tcW w:w="626" w:type="dxa"/>
          </w:tcPr>
          <w:p w14:paraId="150F8EFC" w14:textId="77777777" w:rsidR="00A429B0" w:rsidRPr="001F22F2" w:rsidRDefault="00A429B0">
            <w:pPr>
              <w:pStyle w:val="TableParagraph"/>
              <w:spacing w:before="0"/>
              <w:ind w:left="0"/>
              <w:rPr>
                <w:rFonts w:asciiTheme="minorHAnsi" w:hAnsiTheme="minorHAnsi"/>
              </w:rPr>
            </w:pPr>
          </w:p>
        </w:tc>
        <w:tc>
          <w:tcPr>
            <w:tcW w:w="10168" w:type="dxa"/>
          </w:tcPr>
          <w:p w14:paraId="10ED15B8" w14:textId="77777777" w:rsidR="00A429B0" w:rsidRPr="00C7550F" w:rsidRDefault="00797687" w:rsidP="00C7550F">
            <w:pPr>
              <w:rPr>
                <w:rFonts w:asciiTheme="minorHAnsi" w:hAnsiTheme="minorHAnsi"/>
              </w:rPr>
            </w:pPr>
            <w:r w:rsidRPr="00C7550F">
              <w:rPr>
                <w:rFonts w:asciiTheme="minorHAnsi" w:hAnsiTheme="minorHAnsi"/>
              </w:rPr>
              <w:t>The approved plans, permit, and installation instructions shall be on site at time of inspection</w:t>
            </w:r>
          </w:p>
        </w:tc>
      </w:tr>
      <w:tr w:rsidR="00A429B0" w:rsidRPr="001F22F2" w14:paraId="3B150678" w14:textId="77777777" w:rsidTr="00D3198B">
        <w:trPr>
          <w:trHeight w:val="539"/>
        </w:trPr>
        <w:tc>
          <w:tcPr>
            <w:tcW w:w="626" w:type="dxa"/>
          </w:tcPr>
          <w:p w14:paraId="6FF32FE6" w14:textId="77777777" w:rsidR="00A429B0" w:rsidRPr="001F22F2" w:rsidRDefault="00A429B0">
            <w:pPr>
              <w:pStyle w:val="TableParagraph"/>
              <w:spacing w:before="0"/>
              <w:ind w:left="0"/>
              <w:rPr>
                <w:rFonts w:asciiTheme="minorHAnsi" w:hAnsiTheme="minorHAnsi"/>
              </w:rPr>
            </w:pPr>
          </w:p>
        </w:tc>
        <w:tc>
          <w:tcPr>
            <w:tcW w:w="10168" w:type="dxa"/>
          </w:tcPr>
          <w:p w14:paraId="5F818450" w14:textId="77777777" w:rsidR="00A429B0" w:rsidRPr="00C7550F" w:rsidRDefault="00797687" w:rsidP="00C7550F">
            <w:pPr>
              <w:rPr>
                <w:rFonts w:asciiTheme="minorHAnsi" w:hAnsiTheme="minorHAnsi"/>
              </w:rPr>
            </w:pPr>
            <w:r w:rsidRPr="00C7550F">
              <w:rPr>
                <w:rFonts w:asciiTheme="minorHAnsi" w:hAnsiTheme="minorHAnsi"/>
              </w:rPr>
              <w:t>Major changes, including revisions, to the installation shall be submitted to the AHJ for review and approval</w:t>
            </w:r>
          </w:p>
          <w:p w14:paraId="06BDD159" w14:textId="77777777" w:rsidR="00A429B0" w:rsidRPr="00C7550F" w:rsidRDefault="00797687" w:rsidP="00C7550F">
            <w:pPr>
              <w:rPr>
                <w:rFonts w:asciiTheme="minorHAnsi" w:hAnsiTheme="minorHAnsi"/>
              </w:rPr>
            </w:pPr>
            <w:r w:rsidRPr="00C7550F">
              <w:rPr>
                <w:rFonts w:asciiTheme="minorHAnsi" w:hAnsiTheme="minorHAnsi"/>
              </w:rPr>
              <w:t>prior to inspection.</w:t>
            </w:r>
          </w:p>
        </w:tc>
      </w:tr>
    </w:tbl>
    <w:p w14:paraId="30A5F9D8" w14:textId="77777777" w:rsidR="00A429B0" w:rsidRPr="001F22F2" w:rsidRDefault="00A429B0">
      <w:pPr>
        <w:pStyle w:val="BodyText"/>
        <w:rPr>
          <w:rFonts w:asciiTheme="minorHAnsi" w:hAnsiTheme="minorHAnsi"/>
        </w:rPr>
      </w:pPr>
    </w:p>
    <w:p w14:paraId="6A6E9B8C" w14:textId="77777777" w:rsidR="00A429B0" w:rsidRPr="001F22F2" w:rsidRDefault="00A429B0">
      <w:pPr>
        <w:pStyle w:val="BodyText"/>
        <w:spacing w:before="2"/>
        <w:rPr>
          <w:rFonts w:asciiTheme="minorHAnsi" w:hAnsiTheme="minorHAnsi"/>
        </w:rPr>
      </w:pPr>
    </w:p>
    <w:p w14:paraId="30524006" w14:textId="77777777" w:rsidR="00A429B0" w:rsidRPr="001F22F2" w:rsidRDefault="00797687">
      <w:pPr>
        <w:ind w:left="240"/>
        <w:rPr>
          <w:rFonts w:asciiTheme="minorHAnsi" w:hAnsiTheme="minorHAnsi"/>
          <w:b/>
        </w:rPr>
      </w:pPr>
      <w:r w:rsidRPr="001F22F2">
        <w:rPr>
          <w:rFonts w:asciiTheme="minorHAnsi" w:hAnsiTheme="minorHAnsi"/>
          <w:b/>
          <w:u w:val="single"/>
        </w:rPr>
        <w:t>Inspection</w:t>
      </w:r>
    </w:p>
    <w:p w14:paraId="5E6EEAD0" w14:textId="77777777" w:rsidR="00A429B0" w:rsidRPr="001F22F2" w:rsidRDefault="00A429B0">
      <w:pPr>
        <w:pStyle w:val="BodyText"/>
        <w:spacing w:before="5" w:after="1"/>
        <w:rPr>
          <w:rFonts w:asciiTheme="minorHAnsi" w:hAnsiTheme="minorHAnsi"/>
          <w:b/>
        </w:rPr>
      </w:pPr>
    </w:p>
    <w:tbl>
      <w:tblPr>
        <w:tblStyle w:val="TableGrid"/>
        <w:tblW w:w="0" w:type="auto"/>
        <w:tblLayout w:type="fixed"/>
        <w:tblLook w:val="01E0" w:firstRow="1" w:lastRow="1" w:firstColumn="1" w:lastColumn="1" w:noHBand="0" w:noVBand="0"/>
      </w:tblPr>
      <w:tblGrid>
        <w:gridCol w:w="626"/>
        <w:gridCol w:w="10168"/>
      </w:tblGrid>
      <w:tr w:rsidR="00A429B0" w:rsidRPr="001F22F2" w14:paraId="22E332BE" w14:textId="77777777" w:rsidTr="00D3198B">
        <w:trPr>
          <w:trHeight w:val="268"/>
        </w:trPr>
        <w:tc>
          <w:tcPr>
            <w:tcW w:w="10794" w:type="dxa"/>
            <w:gridSpan w:val="2"/>
          </w:tcPr>
          <w:p w14:paraId="60331616"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General</w:t>
            </w:r>
          </w:p>
        </w:tc>
      </w:tr>
      <w:tr w:rsidR="00A429B0" w:rsidRPr="001F22F2" w14:paraId="0D7CAF1E" w14:textId="77777777" w:rsidTr="00D3198B">
        <w:trPr>
          <w:trHeight w:val="270"/>
        </w:trPr>
        <w:tc>
          <w:tcPr>
            <w:tcW w:w="626" w:type="dxa"/>
          </w:tcPr>
          <w:p w14:paraId="011E7A52" w14:textId="77777777" w:rsidR="00A429B0" w:rsidRPr="001F22F2" w:rsidRDefault="00A429B0">
            <w:pPr>
              <w:pStyle w:val="TableParagraph"/>
              <w:spacing w:before="0"/>
              <w:ind w:left="0"/>
              <w:rPr>
                <w:rFonts w:asciiTheme="minorHAnsi" w:hAnsiTheme="minorHAnsi"/>
              </w:rPr>
            </w:pPr>
          </w:p>
        </w:tc>
        <w:tc>
          <w:tcPr>
            <w:tcW w:w="10168" w:type="dxa"/>
          </w:tcPr>
          <w:p w14:paraId="0947405C" w14:textId="77777777" w:rsidR="00A429B0" w:rsidRPr="00C7550F" w:rsidRDefault="00797687" w:rsidP="00C7550F">
            <w:pPr>
              <w:rPr>
                <w:rFonts w:asciiTheme="minorHAnsi" w:hAnsiTheme="minorHAnsi"/>
              </w:rPr>
            </w:pPr>
            <w:r w:rsidRPr="00C7550F">
              <w:rPr>
                <w:rFonts w:asciiTheme="minorHAnsi" w:hAnsiTheme="minorHAnsi"/>
              </w:rPr>
              <w:t>Exact match of component product number and rating with plan</w:t>
            </w:r>
          </w:p>
        </w:tc>
      </w:tr>
      <w:tr w:rsidR="00A429B0" w:rsidRPr="001F22F2" w14:paraId="69925BB3" w14:textId="77777777" w:rsidTr="00D3198B">
        <w:trPr>
          <w:trHeight w:val="537"/>
        </w:trPr>
        <w:tc>
          <w:tcPr>
            <w:tcW w:w="626" w:type="dxa"/>
          </w:tcPr>
          <w:p w14:paraId="0356B887" w14:textId="77777777" w:rsidR="00A429B0" w:rsidRPr="001F22F2" w:rsidRDefault="00A429B0">
            <w:pPr>
              <w:pStyle w:val="TableParagraph"/>
              <w:spacing w:before="0"/>
              <w:ind w:left="0"/>
              <w:rPr>
                <w:rFonts w:asciiTheme="minorHAnsi" w:hAnsiTheme="minorHAnsi"/>
              </w:rPr>
            </w:pPr>
          </w:p>
        </w:tc>
        <w:tc>
          <w:tcPr>
            <w:tcW w:w="10168" w:type="dxa"/>
          </w:tcPr>
          <w:p w14:paraId="30F1CBBA" w14:textId="77777777" w:rsidR="00A429B0" w:rsidRPr="00C7550F" w:rsidRDefault="00797687" w:rsidP="00C7550F">
            <w:pPr>
              <w:rPr>
                <w:rFonts w:asciiTheme="minorHAnsi" w:hAnsiTheme="minorHAnsi"/>
              </w:rPr>
            </w:pPr>
            <w:r w:rsidRPr="00C7550F">
              <w:rPr>
                <w:rFonts w:asciiTheme="minorHAnsi" w:hAnsiTheme="minorHAnsi"/>
              </w:rPr>
              <w:t>All equipment shall bear the appropriate listing mark of a Nationally Recognized Testing Laboratory where such</w:t>
            </w:r>
          </w:p>
          <w:p w14:paraId="47217500" w14:textId="0C89D4AA" w:rsidR="00A429B0" w:rsidRPr="00C7550F" w:rsidRDefault="00797687" w:rsidP="00C7550F">
            <w:pPr>
              <w:rPr>
                <w:rFonts w:asciiTheme="minorHAnsi" w:hAnsiTheme="minorHAnsi"/>
              </w:rPr>
            </w:pPr>
            <w:r w:rsidRPr="00C7550F">
              <w:rPr>
                <w:rFonts w:asciiTheme="minorHAnsi" w:hAnsiTheme="minorHAnsi"/>
              </w:rPr>
              <w:t>marking is required as part of the listing</w:t>
            </w:r>
            <w:r w:rsidR="00565D6F" w:rsidRPr="00C7550F">
              <w:rPr>
                <w:rFonts w:asciiTheme="minorHAnsi" w:hAnsiTheme="minorHAnsi"/>
              </w:rPr>
              <w:t>, and installed in accordance with its listing</w:t>
            </w:r>
            <w:r w:rsidR="00C7550F" w:rsidRPr="00C7550F">
              <w:rPr>
                <w:rFonts w:asciiTheme="minorHAnsi" w:hAnsiTheme="minorHAnsi"/>
              </w:rPr>
              <w:t xml:space="preserve"> (NEC Article 110.3(B))</w:t>
            </w:r>
            <w:r w:rsidR="006D6386" w:rsidRPr="00C7550F">
              <w:rPr>
                <w:rFonts w:asciiTheme="minorHAnsi" w:hAnsiTheme="minorHAnsi"/>
              </w:rPr>
              <w:t xml:space="preserve"> </w:t>
            </w:r>
          </w:p>
        </w:tc>
      </w:tr>
      <w:tr w:rsidR="00A429B0" w:rsidRPr="001F22F2" w14:paraId="2F9CCE12" w14:textId="77777777" w:rsidTr="00D3198B">
        <w:trPr>
          <w:trHeight w:val="534"/>
        </w:trPr>
        <w:tc>
          <w:tcPr>
            <w:tcW w:w="626" w:type="dxa"/>
          </w:tcPr>
          <w:p w14:paraId="2ED4CA54" w14:textId="77777777" w:rsidR="00A429B0" w:rsidRPr="001F22F2" w:rsidRDefault="00A429B0">
            <w:pPr>
              <w:pStyle w:val="TableParagraph"/>
              <w:spacing w:before="0"/>
              <w:ind w:left="0"/>
              <w:rPr>
                <w:rFonts w:asciiTheme="minorHAnsi" w:hAnsiTheme="minorHAnsi"/>
              </w:rPr>
            </w:pPr>
          </w:p>
        </w:tc>
        <w:tc>
          <w:tcPr>
            <w:tcW w:w="10168" w:type="dxa"/>
          </w:tcPr>
          <w:p w14:paraId="3462CC5D" w14:textId="77777777" w:rsidR="00A429B0" w:rsidRPr="00C7550F" w:rsidRDefault="00797687" w:rsidP="00C7550F">
            <w:pPr>
              <w:rPr>
                <w:rFonts w:asciiTheme="minorHAnsi" w:hAnsiTheme="minorHAnsi"/>
              </w:rPr>
            </w:pPr>
            <w:r w:rsidRPr="00C7550F">
              <w:rPr>
                <w:rFonts w:asciiTheme="minorHAnsi" w:hAnsiTheme="minorHAnsi"/>
              </w:rPr>
              <w:t>Battery energy storage system includes a manual (system description, operating and safety instructions,</w:t>
            </w:r>
          </w:p>
          <w:p w14:paraId="4D46C913" w14:textId="2398303E" w:rsidR="00A429B0" w:rsidRPr="00C7550F" w:rsidRDefault="00797687" w:rsidP="00C7550F">
            <w:pPr>
              <w:rPr>
                <w:rFonts w:asciiTheme="minorHAnsi" w:hAnsiTheme="minorHAnsi"/>
              </w:rPr>
            </w:pPr>
            <w:r w:rsidRPr="00C7550F">
              <w:rPr>
                <w:rFonts w:asciiTheme="minorHAnsi" w:hAnsiTheme="minorHAnsi"/>
              </w:rPr>
              <w:t>maintenance requirements, safe batter</w:t>
            </w:r>
            <w:r w:rsidR="004D1A12">
              <w:rPr>
                <w:rFonts w:asciiTheme="minorHAnsi" w:hAnsiTheme="minorHAnsi"/>
              </w:rPr>
              <w:t>y</w:t>
            </w:r>
            <w:r w:rsidRPr="00C7550F">
              <w:rPr>
                <w:rFonts w:asciiTheme="minorHAnsi" w:hAnsiTheme="minorHAnsi"/>
              </w:rPr>
              <w:t xml:space="preserve"> handling requirements/recommendations)</w:t>
            </w:r>
          </w:p>
        </w:tc>
      </w:tr>
      <w:tr w:rsidR="00A429B0" w:rsidRPr="001F22F2" w14:paraId="6B2E76C6" w14:textId="77777777" w:rsidTr="00D3198B">
        <w:trPr>
          <w:trHeight w:val="537"/>
        </w:trPr>
        <w:tc>
          <w:tcPr>
            <w:tcW w:w="626" w:type="dxa"/>
          </w:tcPr>
          <w:p w14:paraId="2D9A5F28" w14:textId="77777777" w:rsidR="00A429B0" w:rsidRPr="001F22F2" w:rsidRDefault="00A429B0">
            <w:pPr>
              <w:pStyle w:val="TableParagraph"/>
              <w:spacing w:before="0"/>
              <w:ind w:left="0"/>
              <w:rPr>
                <w:rFonts w:asciiTheme="minorHAnsi" w:hAnsiTheme="minorHAnsi"/>
              </w:rPr>
            </w:pPr>
          </w:p>
        </w:tc>
        <w:tc>
          <w:tcPr>
            <w:tcW w:w="10168" w:type="dxa"/>
          </w:tcPr>
          <w:p w14:paraId="16415A79" w14:textId="77777777" w:rsidR="00A429B0" w:rsidRPr="00C7550F" w:rsidRDefault="00797687" w:rsidP="00C7550F">
            <w:pPr>
              <w:rPr>
                <w:rFonts w:asciiTheme="minorHAnsi" w:hAnsiTheme="minorHAnsi"/>
              </w:rPr>
            </w:pPr>
            <w:r w:rsidRPr="00C7550F">
              <w:rPr>
                <w:rFonts w:asciiTheme="minorHAnsi" w:hAnsiTheme="minorHAnsi"/>
              </w:rPr>
              <w:t>A personnel door(s) intended for entrance to and egress from rooms designed as BESS rooms shall open in the</w:t>
            </w:r>
          </w:p>
          <w:p w14:paraId="64389EBC" w14:textId="77777777" w:rsidR="00A429B0" w:rsidRPr="00C7550F" w:rsidRDefault="00797687" w:rsidP="00C7550F">
            <w:pPr>
              <w:rPr>
                <w:rFonts w:asciiTheme="minorHAnsi" w:hAnsiTheme="minorHAnsi"/>
              </w:rPr>
            </w:pPr>
            <w:r w:rsidRPr="00C7550F">
              <w:rPr>
                <w:rFonts w:asciiTheme="minorHAnsi" w:hAnsiTheme="minorHAnsi"/>
              </w:rPr>
              <w:t>direction of egress and shall be equipped with listed panic hardware, (NEC 706.10(D))</w:t>
            </w:r>
          </w:p>
        </w:tc>
      </w:tr>
      <w:tr w:rsidR="00A429B0" w:rsidRPr="001F22F2" w14:paraId="59D7028A" w14:textId="77777777" w:rsidTr="00D3198B">
        <w:trPr>
          <w:trHeight w:val="537"/>
        </w:trPr>
        <w:tc>
          <w:tcPr>
            <w:tcW w:w="626" w:type="dxa"/>
          </w:tcPr>
          <w:p w14:paraId="708F7A05" w14:textId="77777777" w:rsidR="00A429B0" w:rsidRPr="001F22F2" w:rsidRDefault="00A429B0">
            <w:pPr>
              <w:pStyle w:val="TableParagraph"/>
              <w:spacing w:before="0"/>
              <w:ind w:left="0"/>
              <w:rPr>
                <w:rFonts w:asciiTheme="minorHAnsi" w:hAnsiTheme="minorHAnsi"/>
              </w:rPr>
            </w:pPr>
          </w:p>
        </w:tc>
        <w:tc>
          <w:tcPr>
            <w:tcW w:w="10168" w:type="dxa"/>
          </w:tcPr>
          <w:p w14:paraId="4B4907D4" w14:textId="77777777" w:rsidR="00A429B0" w:rsidRPr="00C7550F" w:rsidRDefault="00797687" w:rsidP="00C7550F">
            <w:pPr>
              <w:rPr>
                <w:rFonts w:asciiTheme="minorHAnsi" w:hAnsiTheme="minorHAnsi"/>
              </w:rPr>
            </w:pPr>
            <w:r w:rsidRPr="00C7550F">
              <w:rPr>
                <w:rFonts w:asciiTheme="minorHAnsi" w:hAnsiTheme="minorHAnsi"/>
              </w:rPr>
              <w:t>Provide sufficient working spaces and clearances for batteries. Working space shall be measured from the edge</w:t>
            </w:r>
          </w:p>
          <w:p w14:paraId="4BBE2D27" w14:textId="77777777" w:rsidR="00A429B0" w:rsidRPr="00C7550F" w:rsidRDefault="00797687" w:rsidP="00C7550F">
            <w:pPr>
              <w:rPr>
                <w:rFonts w:asciiTheme="minorHAnsi" w:hAnsiTheme="minorHAnsi"/>
              </w:rPr>
            </w:pPr>
            <w:r w:rsidRPr="00C7550F">
              <w:rPr>
                <w:rFonts w:asciiTheme="minorHAnsi" w:hAnsiTheme="minorHAnsi"/>
              </w:rPr>
              <w:t>of the battery cabinet, racks, or trays, (NEC 480.9, 110.26)</w:t>
            </w:r>
          </w:p>
        </w:tc>
      </w:tr>
      <w:tr w:rsidR="00A429B0" w:rsidRPr="001F22F2" w14:paraId="26A5E9FD" w14:textId="77777777" w:rsidTr="00D3198B">
        <w:trPr>
          <w:trHeight w:val="440"/>
        </w:trPr>
        <w:tc>
          <w:tcPr>
            <w:tcW w:w="626" w:type="dxa"/>
          </w:tcPr>
          <w:p w14:paraId="28894C04" w14:textId="77777777" w:rsidR="00A429B0" w:rsidRPr="001F22F2" w:rsidRDefault="00A429B0">
            <w:pPr>
              <w:pStyle w:val="TableParagraph"/>
              <w:spacing w:before="0"/>
              <w:ind w:left="0"/>
              <w:rPr>
                <w:rFonts w:asciiTheme="minorHAnsi" w:hAnsiTheme="minorHAnsi"/>
              </w:rPr>
            </w:pPr>
          </w:p>
        </w:tc>
        <w:tc>
          <w:tcPr>
            <w:tcW w:w="10168" w:type="dxa"/>
          </w:tcPr>
          <w:p w14:paraId="3635EDCD" w14:textId="77777777" w:rsidR="00A429B0" w:rsidRPr="00C7550F" w:rsidRDefault="00797687" w:rsidP="00C7550F">
            <w:pPr>
              <w:rPr>
                <w:rFonts w:asciiTheme="minorHAnsi" w:hAnsiTheme="minorHAnsi"/>
              </w:rPr>
            </w:pPr>
            <w:r w:rsidRPr="00C7550F">
              <w:rPr>
                <w:rFonts w:asciiTheme="minorHAnsi" w:hAnsiTheme="minorHAnsi"/>
              </w:rPr>
              <w:t>Spaces about the ESS shall comply with NEC 110.26. Working space shall be measured from the edge of the ESS modules, battery cabinets, racks, or trays, (NEC 706.10(C))</w:t>
            </w:r>
          </w:p>
          <w:p w14:paraId="4DF09BBA" w14:textId="77777777" w:rsidR="00A429B0" w:rsidRPr="00C7550F" w:rsidRDefault="00797687" w:rsidP="00C7550F">
            <w:pPr>
              <w:pStyle w:val="ListParagraph"/>
              <w:numPr>
                <w:ilvl w:val="0"/>
                <w:numId w:val="7"/>
              </w:numPr>
              <w:rPr>
                <w:rFonts w:asciiTheme="minorHAnsi" w:hAnsiTheme="minorHAnsi"/>
              </w:rPr>
            </w:pPr>
            <w:r w:rsidRPr="00C7550F">
              <w:rPr>
                <w:rFonts w:asciiTheme="minorHAnsi" w:hAnsiTheme="minorHAnsi"/>
              </w:rPr>
              <w:t>For battery racks, there shall be a minimum clearance of 1 inch between a cell container and any wall or structure on the side not requiring access for maintenance.</w:t>
            </w:r>
          </w:p>
          <w:p w14:paraId="229308A3" w14:textId="77777777" w:rsidR="00A429B0" w:rsidRPr="00C7550F" w:rsidRDefault="00797687" w:rsidP="00C7550F">
            <w:pPr>
              <w:pStyle w:val="ListParagraph"/>
              <w:numPr>
                <w:ilvl w:val="0"/>
                <w:numId w:val="7"/>
              </w:numPr>
              <w:rPr>
                <w:rFonts w:asciiTheme="minorHAnsi" w:hAnsiTheme="minorHAnsi"/>
              </w:rPr>
            </w:pPr>
            <w:r w:rsidRPr="00C7550F">
              <w:rPr>
                <w:rFonts w:asciiTheme="minorHAnsi" w:hAnsiTheme="minorHAnsi"/>
              </w:rPr>
              <w:t>ESS modules, battery cabinets, racks, or trays shall be permitted to contact adjacent walls or structures, provided that the battery shelf has a free air space for not less than 90% of its length.</w:t>
            </w:r>
          </w:p>
          <w:p w14:paraId="7DBF156D" w14:textId="77777777" w:rsidR="00A429B0" w:rsidRPr="00C7550F" w:rsidRDefault="00797687" w:rsidP="00C7550F">
            <w:pPr>
              <w:pStyle w:val="ListParagraph"/>
              <w:numPr>
                <w:ilvl w:val="0"/>
                <w:numId w:val="7"/>
              </w:numPr>
              <w:rPr>
                <w:rFonts w:asciiTheme="minorHAnsi" w:hAnsiTheme="minorHAnsi"/>
              </w:rPr>
            </w:pPr>
            <w:r w:rsidRPr="00C7550F">
              <w:rPr>
                <w:rFonts w:asciiTheme="minorHAnsi" w:hAnsiTheme="minorHAnsi"/>
              </w:rPr>
              <w:t>Pre-engineered and self-contained ESSs shall be permitted to have working space between components within the system in accordance with the manufacturer’s recommendations and listing of the system.</w:t>
            </w:r>
          </w:p>
        </w:tc>
      </w:tr>
    </w:tbl>
    <w:p w14:paraId="460E5E42" w14:textId="77777777" w:rsidR="00A429B0" w:rsidRPr="001F22F2" w:rsidRDefault="00A429B0">
      <w:pPr>
        <w:spacing w:line="268" w:lineRule="exact"/>
        <w:rPr>
          <w:rFonts w:asciiTheme="minorHAnsi" w:hAnsiTheme="minorHAnsi"/>
        </w:rPr>
        <w:sectPr w:rsidR="00A429B0" w:rsidRPr="001F22F2" w:rsidSect="002F53C3">
          <w:type w:val="continuous"/>
          <w:pgSz w:w="12240" w:h="15840"/>
          <w:pgMar w:top="180" w:right="720" w:bottom="720" w:left="720" w:header="720" w:footer="720" w:gutter="0"/>
          <w:cols w:space="720"/>
        </w:sectPr>
      </w:pPr>
    </w:p>
    <w:tbl>
      <w:tblPr>
        <w:tblStyle w:val="TableGrid"/>
        <w:tblW w:w="0" w:type="auto"/>
        <w:tblLayout w:type="fixed"/>
        <w:tblLook w:val="01E0" w:firstRow="1" w:lastRow="1" w:firstColumn="1" w:lastColumn="1" w:noHBand="0" w:noVBand="0"/>
      </w:tblPr>
      <w:tblGrid>
        <w:gridCol w:w="626"/>
        <w:gridCol w:w="10168"/>
      </w:tblGrid>
      <w:tr w:rsidR="00A429B0" w:rsidRPr="001F22F2" w14:paraId="1338A2EF" w14:textId="77777777" w:rsidTr="00D3198B">
        <w:trPr>
          <w:trHeight w:val="268"/>
        </w:trPr>
        <w:tc>
          <w:tcPr>
            <w:tcW w:w="10794" w:type="dxa"/>
            <w:gridSpan w:val="2"/>
          </w:tcPr>
          <w:p w14:paraId="3042F187"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lastRenderedPageBreak/>
              <w:t>Equipment</w:t>
            </w:r>
          </w:p>
        </w:tc>
      </w:tr>
      <w:tr w:rsidR="00A429B0" w:rsidRPr="001F22F2" w14:paraId="283357EE" w14:textId="77777777" w:rsidTr="00D3198B">
        <w:trPr>
          <w:trHeight w:val="268"/>
        </w:trPr>
        <w:tc>
          <w:tcPr>
            <w:tcW w:w="626" w:type="dxa"/>
          </w:tcPr>
          <w:p w14:paraId="7ECF6AF6" w14:textId="77777777" w:rsidR="00A429B0" w:rsidRPr="001F22F2" w:rsidRDefault="00A429B0">
            <w:pPr>
              <w:pStyle w:val="TableParagraph"/>
              <w:spacing w:before="0"/>
              <w:ind w:left="0"/>
              <w:rPr>
                <w:rFonts w:asciiTheme="minorHAnsi" w:hAnsiTheme="minorHAnsi"/>
              </w:rPr>
            </w:pPr>
          </w:p>
        </w:tc>
        <w:tc>
          <w:tcPr>
            <w:tcW w:w="10168" w:type="dxa"/>
          </w:tcPr>
          <w:p w14:paraId="76474BC9" w14:textId="77777777" w:rsidR="00A429B0" w:rsidRPr="00C7550F" w:rsidRDefault="00797687" w:rsidP="00C7550F">
            <w:pPr>
              <w:rPr>
                <w:rFonts w:asciiTheme="minorHAnsi" w:hAnsiTheme="minorHAnsi"/>
              </w:rPr>
            </w:pPr>
            <w:r w:rsidRPr="00C7550F">
              <w:rPr>
                <w:rFonts w:asciiTheme="minorHAnsi" w:hAnsiTheme="minorHAnsi"/>
              </w:rPr>
              <w:t>Flexible Battery DC conductors are listed as hard service use and/or moisture resistant, (NEC 690.74, 706.32)</w:t>
            </w:r>
          </w:p>
        </w:tc>
      </w:tr>
      <w:tr w:rsidR="00A429B0" w:rsidRPr="001F22F2" w14:paraId="6F01B392" w14:textId="77777777" w:rsidTr="00D3198B">
        <w:trPr>
          <w:trHeight w:val="268"/>
        </w:trPr>
        <w:tc>
          <w:tcPr>
            <w:tcW w:w="626" w:type="dxa"/>
          </w:tcPr>
          <w:p w14:paraId="54C10D51" w14:textId="77777777" w:rsidR="00A429B0" w:rsidRPr="001F22F2" w:rsidRDefault="00A429B0">
            <w:pPr>
              <w:pStyle w:val="TableParagraph"/>
              <w:spacing w:before="0"/>
              <w:ind w:left="0"/>
              <w:rPr>
                <w:rFonts w:asciiTheme="minorHAnsi" w:hAnsiTheme="minorHAnsi"/>
              </w:rPr>
            </w:pPr>
          </w:p>
        </w:tc>
        <w:tc>
          <w:tcPr>
            <w:tcW w:w="10168" w:type="dxa"/>
          </w:tcPr>
          <w:p w14:paraId="0D28BDB0" w14:textId="3AEA9A92" w:rsidR="00A429B0" w:rsidRPr="00C7550F" w:rsidRDefault="00797687" w:rsidP="00C7550F">
            <w:pPr>
              <w:rPr>
                <w:rFonts w:asciiTheme="minorHAnsi" w:hAnsiTheme="minorHAnsi"/>
              </w:rPr>
            </w:pPr>
            <w:r w:rsidRPr="00C7550F">
              <w:rPr>
                <w:rFonts w:asciiTheme="minorHAnsi" w:hAnsiTheme="minorHAnsi"/>
              </w:rPr>
              <w:t>Fine stranded flexible cables (if used) terminated in accordance with NEC 110.14, (NEC 110.14, 706.32)</w:t>
            </w:r>
          </w:p>
        </w:tc>
      </w:tr>
      <w:tr w:rsidR="00A429B0" w:rsidRPr="001F22F2" w14:paraId="17AA81B3" w14:textId="77777777" w:rsidTr="00D3198B">
        <w:trPr>
          <w:trHeight w:val="537"/>
        </w:trPr>
        <w:tc>
          <w:tcPr>
            <w:tcW w:w="626" w:type="dxa"/>
          </w:tcPr>
          <w:p w14:paraId="2F52CF71" w14:textId="77777777" w:rsidR="00A429B0" w:rsidRPr="001F22F2" w:rsidRDefault="00A429B0">
            <w:pPr>
              <w:pStyle w:val="TableParagraph"/>
              <w:spacing w:before="0"/>
              <w:ind w:left="0"/>
              <w:rPr>
                <w:rFonts w:asciiTheme="minorHAnsi" w:hAnsiTheme="minorHAnsi"/>
              </w:rPr>
            </w:pPr>
          </w:p>
        </w:tc>
        <w:tc>
          <w:tcPr>
            <w:tcW w:w="10168" w:type="dxa"/>
          </w:tcPr>
          <w:p w14:paraId="16ECEF01" w14:textId="5538A070" w:rsidR="00A429B0" w:rsidRPr="00C7550F" w:rsidRDefault="00797687" w:rsidP="00C7550F">
            <w:pPr>
              <w:rPr>
                <w:rFonts w:asciiTheme="minorHAnsi" w:hAnsiTheme="minorHAnsi"/>
              </w:rPr>
            </w:pPr>
            <w:r w:rsidRPr="00C7550F">
              <w:rPr>
                <w:rFonts w:asciiTheme="minorHAnsi" w:hAnsiTheme="minorHAnsi"/>
              </w:rPr>
              <w:t>Ungrounded conductor is not marked using white, grey, or white striped conductors to avoid confusion with</w:t>
            </w:r>
          </w:p>
          <w:p w14:paraId="1A99C1BF" w14:textId="77777777" w:rsidR="00A429B0" w:rsidRPr="00C7550F" w:rsidRDefault="00797687" w:rsidP="00C7550F">
            <w:pPr>
              <w:rPr>
                <w:rFonts w:asciiTheme="minorHAnsi" w:hAnsiTheme="minorHAnsi"/>
              </w:rPr>
            </w:pPr>
            <w:r w:rsidRPr="00C7550F">
              <w:rPr>
                <w:rFonts w:asciiTheme="minorHAnsi" w:hAnsiTheme="minorHAnsi"/>
              </w:rPr>
              <w:t>grounded conductor markings, (NEC 200.7)</w:t>
            </w:r>
          </w:p>
        </w:tc>
      </w:tr>
      <w:tr w:rsidR="00A429B0" w:rsidRPr="001F22F2" w14:paraId="4E1FB4BB" w14:textId="77777777" w:rsidTr="00D3198B">
        <w:trPr>
          <w:trHeight w:val="268"/>
        </w:trPr>
        <w:tc>
          <w:tcPr>
            <w:tcW w:w="626" w:type="dxa"/>
          </w:tcPr>
          <w:p w14:paraId="5123DDF0" w14:textId="77777777" w:rsidR="00A429B0" w:rsidRPr="001F22F2" w:rsidRDefault="00A429B0">
            <w:pPr>
              <w:pStyle w:val="TableParagraph"/>
              <w:spacing w:before="0"/>
              <w:ind w:left="0"/>
              <w:rPr>
                <w:rFonts w:asciiTheme="minorHAnsi" w:hAnsiTheme="minorHAnsi"/>
              </w:rPr>
            </w:pPr>
          </w:p>
        </w:tc>
        <w:tc>
          <w:tcPr>
            <w:tcW w:w="10168" w:type="dxa"/>
          </w:tcPr>
          <w:p w14:paraId="680620A8" w14:textId="77777777" w:rsidR="00A429B0" w:rsidRPr="00C7550F" w:rsidRDefault="00797687" w:rsidP="00C7550F">
            <w:pPr>
              <w:rPr>
                <w:rFonts w:asciiTheme="minorHAnsi" w:hAnsiTheme="minorHAnsi"/>
              </w:rPr>
            </w:pPr>
            <w:r w:rsidRPr="00C7550F">
              <w:rPr>
                <w:rFonts w:asciiTheme="minorHAnsi" w:hAnsiTheme="minorHAnsi"/>
              </w:rPr>
              <w:t>Electrochemically dissimilar metals are not in direct physical contact, (NEC 110.14)</w:t>
            </w:r>
          </w:p>
        </w:tc>
      </w:tr>
      <w:tr w:rsidR="00C8408B" w:rsidRPr="001F22F2" w14:paraId="6BDBA578" w14:textId="77777777" w:rsidTr="00D3198B">
        <w:trPr>
          <w:trHeight w:val="395"/>
        </w:trPr>
        <w:tc>
          <w:tcPr>
            <w:tcW w:w="626" w:type="dxa"/>
          </w:tcPr>
          <w:p w14:paraId="21EAE706" w14:textId="77777777" w:rsidR="00C8408B" w:rsidRPr="001F22F2" w:rsidRDefault="00C8408B">
            <w:pPr>
              <w:pStyle w:val="TableParagraph"/>
              <w:spacing w:before="0"/>
              <w:ind w:left="0"/>
              <w:rPr>
                <w:rFonts w:asciiTheme="minorHAnsi" w:hAnsiTheme="minorHAnsi"/>
              </w:rPr>
            </w:pPr>
          </w:p>
        </w:tc>
        <w:tc>
          <w:tcPr>
            <w:tcW w:w="10168" w:type="dxa"/>
          </w:tcPr>
          <w:p w14:paraId="5C596099" w14:textId="3D760F6A" w:rsidR="00C8408B" w:rsidRPr="00C7550F" w:rsidRDefault="00C8408B" w:rsidP="00C7550F">
            <w:pPr>
              <w:rPr>
                <w:rFonts w:asciiTheme="minorHAnsi" w:hAnsiTheme="minorHAnsi"/>
              </w:rPr>
            </w:pPr>
            <w:r w:rsidRPr="00C7550F">
              <w:rPr>
                <w:rFonts w:asciiTheme="minorHAnsi" w:hAnsiTheme="minorHAnsi"/>
              </w:rPr>
              <w:t>All connections shall be secure, (NEC 110.14, 706.31)</w:t>
            </w:r>
          </w:p>
        </w:tc>
      </w:tr>
      <w:tr w:rsidR="00C8408B" w:rsidRPr="001F22F2" w14:paraId="4487BB70" w14:textId="77777777" w:rsidTr="00D3198B">
        <w:trPr>
          <w:trHeight w:val="268"/>
        </w:trPr>
        <w:tc>
          <w:tcPr>
            <w:tcW w:w="626" w:type="dxa"/>
          </w:tcPr>
          <w:p w14:paraId="6467EF44" w14:textId="77777777" w:rsidR="00C8408B" w:rsidRPr="001F22F2" w:rsidRDefault="00C8408B">
            <w:pPr>
              <w:pStyle w:val="TableParagraph"/>
              <w:spacing w:before="0"/>
              <w:ind w:left="0"/>
              <w:rPr>
                <w:rFonts w:asciiTheme="minorHAnsi" w:hAnsiTheme="minorHAnsi"/>
              </w:rPr>
            </w:pPr>
          </w:p>
        </w:tc>
        <w:tc>
          <w:tcPr>
            <w:tcW w:w="10168" w:type="dxa"/>
          </w:tcPr>
          <w:p w14:paraId="0252FB84" w14:textId="5659626E" w:rsidR="00C8408B" w:rsidRPr="00C7550F" w:rsidRDefault="00C8408B" w:rsidP="00C7550F">
            <w:pPr>
              <w:rPr>
                <w:rFonts w:asciiTheme="minorHAnsi" w:hAnsiTheme="minorHAnsi"/>
              </w:rPr>
            </w:pPr>
            <w:r w:rsidRPr="00C7550F">
              <w:rPr>
                <w:rFonts w:asciiTheme="minorHAnsi" w:hAnsiTheme="minorHAnsi"/>
              </w:rPr>
              <w:t>All metallic raceways and equipment shall be bonded and electrically continuous, (NEC 110.3(B), 250.8)</w:t>
            </w:r>
          </w:p>
        </w:tc>
      </w:tr>
      <w:tr w:rsidR="00C8408B" w:rsidRPr="001F22F2" w14:paraId="3AC11613" w14:textId="77777777" w:rsidTr="00D3198B">
        <w:trPr>
          <w:trHeight w:val="268"/>
        </w:trPr>
        <w:tc>
          <w:tcPr>
            <w:tcW w:w="626" w:type="dxa"/>
          </w:tcPr>
          <w:p w14:paraId="262E9248" w14:textId="77777777" w:rsidR="00C8408B" w:rsidRPr="001F22F2" w:rsidRDefault="00C8408B">
            <w:pPr>
              <w:pStyle w:val="TableParagraph"/>
              <w:spacing w:before="0"/>
              <w:ind w:left="0"/>
              <w:rPr>
                <w:rFonts w:asciiTheme="minorHAnsi" w:hAnsiTheme="minorHAnsi"/>
              </w:rPr>
            </w:pPr>
          </w:p>
        </w:tc>
        <w:tc>
          <w:tcPr>
            <w:tcW w:w="10168" w:type="dxa"/>
          </w:tcPr>
          <w:p w14:paraId="63AE8F6C" w14:textId="3A4C36DD" w:rsidR="00C8408B" w:rsidRPr="00C7550F" w:rsidRDefault="00C8408B" w:rsidP="00C7550F">
            <w:pPr>
              <w:rPr>
                <w:rFonts w:asciiTheme="minorHAnsi" w:hAnsiTheme="minorHAnsi"/>
              </w:rPr>
            </w:pPr>
            <w:r w:rsidRPr="00C7550F">
              <w:rPr>
                <w:rFonts w:asciiTheme="minorHAnsi" w:hAnsiTheme="minorHAnsi"/>
              </w:rPr>
              <w:t>Unused opening shall be close with protection equivalent to the wall of enclosure, (NEC 110.3(B), 408.7)</w:t>
            </w:r>
          </w:p>
        </w:tc>
      </w:tr>
      <w:tr w:rsidR="00C8408B" w:rsidRPr="001F22F2" w14:paraId="60FAB654" w14:textId="77777777" w:rsidTr="00D3198B">
        <w:trPr>
          <w:trHeight w:val="268"/>
        </w:trPr>
        <w:tc>
          <w:tcPr>
            <w:tcW w:w="626" w:type="dxa"/>
          </w:tcPr>
          <w:p w14:paraId="1C78A9B3" w14:textId="77777777" w:rsidR="00C8408B" w:rsidRPr="001F22F2" w:rsidRDefault="00C8408B">
            <w:pPr>
              <w:pStyle w:val="TableParagraph"/>
              <w:spacing w:before="0"/>
              <w:ind w:left="0"/>
              <w:rPr>
                <w:rFonts w:asciiTheme="minorHAnsi" w:hAnsiTheme="minorHAnsi"/>
              </w:rPr>
            </w:pPr>
          </w:p>
        </w:tc>
        <w:tc>
          <w:tcPr>
            <w:tcW w:w="10168" w:type="dxa"/>
          </w:tcPr>
          <w:p w14:paraId="2262CEA0" w14:textId="77777777" w:rsidR="00C8408B" w:rsidRPr="00C7550F" w:rsidRDefault="00C8408B" w:rsidP="00C7550F">
            <w:pPr>
              <w:rPr>
                <w:rFonts w:asciiTheme="minorHAnsi" w:hAnsiTheme="minorHAnsi"/>
              </w:rPr>
            </w:pPr>
            <w:r w:rsidRPr="00C7550F">
              <w:rPr>
                <w:rFonts w:asciiTheme="minorHAnsi" w:hAnsiTheme="minorHAnsi"/>
              </w:rPr>
              <w:t>The selected wiring methods are appropriate for the location and installed in accordance with their intended</w:t>
            </w:r>
          </w:p>
          <w:p w14:paraId="5C1306DA" w14:textId="439D9549" w:rsidR="00C8408B" w:rsidRPr="00C7550F" w:rsidRDefault="00C8408B" w:rsidP="00C7550F">
            <w:pPr>
              <w:rPr>
                <w:rFonts w:asciiTheme="minorHAnsi" w:hAnsiTheme="minorHAnsi"/>
              </w:rPr>
            </w:pPr>
            <w:r w:rsidRPr="00C7550F">
              <w:rPr>
                <w:rFonts w:asciiTheme="minorHAnsi" w:hAnsiTheme="minorHAnsi"/>
              </w:rPr>
              <w:t>use, (NEC 310, 706)</w:t>
            </w:r>
          </w:p>
        </w:tc>
      </w:tr>
      <w:tr w:rsidR="00C8408B" w:rsidRPr="001F22F2" w14:paraId="0C4E1C49" w14:textId="77777777" w:rsidTr="00D3198B">
        <w:trPr>
          <w:trHeight w:val="537"/>
        </w:trPr>
        <w:tc>
          <w:tcPr>
            <w:tcW w:w="626" w:type="dxa"/>
          </w:tcPr>
          <w:p w14:paraId="0D31AC41" w14:textId="77777777" w:rsidR="00C8408B" w:rsidRPr="001F22F2" w:rsidRDefault="00C8408B">
            <w:pPr>
              <w:pStyle w:val="TableParagraph"/>
              <w:spacing w:before="0"/>
              <w:ind w:left="0"/>
              <w:rPr>
                <w:rFonts w:asciiTheme="minorHAnsi" w:hAnsiTheme="minorHAnsi"/>
              </w:rPr>
            </w:pPr>
          </w:p>
        </w:tc>
        <w:tc>
          <w:tcPr>
            <w:tcW w:w="10168" w:type="dxa"/>
          </w:tcPr>
          <w:p w14:paraId="247A8BB3" w14:textId="117930FD" w:rsidR="00C8408B" w:rsidRPr="00C7550F" w:rsidRDefault="00C8408B" w:rsidP="00C7550F">
            <w:pPr>
              <w:rPr>
                <w:rFonts w:asciiTheme="minorHAnsi" w:hAnsiTheme="minorHAnsi"/>
              </w:rPr>
            </w:pPr>
            <w:r w:rsidRPr="00C7550F">
              <w:rPr>
                <w:rFonts w:asciiTheme="minorHAnsi" w:hAnsiTheme="minorHAnsi"/>
              </w:rPr>
              <w:t>All live parts of batteries must be guarded regardless of voltage or battery type, (NEC 706.10(B))</w:t>
            </w:r>
          </w:p>
        </w:tc>
      </w:tr>
      <w:tr w:rsidR="00C8408B" w:rsidRPr="001F22F2" w14:paraId="07F25CC4" w14:textId="77777777" w:rsidTr="00D3198B">
        <w:trPr>
          <w:trHeight w:val="268"/>
        </w:trPr>
        <w:tc>
          <w:tcPr>
            <w:tcW w:w="626" w:type="dxa"/>
          </w:tcPr>
          <w:p w14:paraId="2B9FD039" w14:textId="77777777" w:rsidR="00C8408B" w:rsidRPr="001F22F2" w:rsidRDefault="00C8408B">
            <w:pPr>
              <w:pStyle w:val="TableParagraph"/>
              <w:spacing w:before="0"/>
              <w:ind w:left="0"/>
              <w:rPr>
                <w:rFonts w:asciiTheme="minorHAnsi" w:hAnsiTheme="minorHAnsi"/>
              </w:rPr>
            </w:pPr>
          </w:p>
        </w:tc>
        <w:tc>
          <w:tcPr>
            <w:tcW w:w="10168" w:type="dxa"/>
          </w:tcPr>
          <w:p w14:paraId="2D03DAEC" w14:textId="00664083" w:rsidR="00C8408B" w:rsidRPr="00C7550F" w:rsidRDefault="00C8408B" w:rsidP="00C7550F">
            <w:pPr>
              <w:rPr>
                <w:rFonts w:asciiTheme="minorHAnsi" w:hAnsiTheme="minorHAnsi"/>
              </w:rPr>
            </w:pPr>
            <w:r w:rsidRPr="00C7550F">
              <w:rPr>
                <w:rFonts w:asciiTheme="minorHAnsi" w:hAnsiTheme="minorHAnsi"/>
              </w:rPr>
              <w:t>Batteries’ live parts shall be guarded in accordance with (NEC 110.27, 480.10(B))</w:t>
            </w:r>
          </w:p>
        </w:tc>
      </w:tr>
      <w:tr w:rsidR="00C8408B" w:rsidRPr="001F22F2" w14:paraId="149390F3" w14:textId="77777777" w:rsidTr="00D3198B">
        <w:trPr>
          <w:trHeight w:val="268"/>
        </w:trPr>
        <w:tc>
          <w:tcPr>
            <w:tcW w:w="626" w:type="dxa"/>
          </w:tcPr>
          <w:p w14:paraId="77DD7430" w14:textId="77777777" w:rsidR="00C8408B" w:rsidRPr="001F22F2" w:rsidRDefault="00C8408B">
            <w:pPr>
              <w:pStyle w:val="TableParagraph"/>
              <w:spacing w:before="0"/>
              <w:ind w:left="0"/>
              <w:rPr>
                <w:rFonts w:asciiTheme="minorHAnsi" w:hAnsiTheme="minorHAnsi"/>
              </w:rPr>
            </w:pPr>
          </w:p>
        </w:tc>
        <w:tc>
          <w:tcPr>
            <w:tcW w:w="10168" w:type="dxa"/>
          </w:tcPr>
          <w:p w14:paraId="4F48069C" w14:textId="77777777" w:rsidR="00C8408B" w:rsidRPr="00C7550F" w:rsidRDefault="00C8408B" w:rsidP="00C7550F">
            <w:pPr>
              <w:rPr>
                <w:rFonts w:asciiTheme="minorHAnsi" w:hAnsiTheme="minorHAnsi"/>
              </w:rPr>
            </w:pPr>
            <w:r w:rsidRPr="00C7550F">
              <w:rPr>
                <w:rFonts w:asciiTheme="minorHAnsi" w:hAnsiTheme="minorHAnsi"/>
              </w:rPr>
              <w:t>Verify that the attachment of the battery storage unit to the wall or floor is per the approved plans. If the wall</w:t>
            </w:r>
          </w:p>
          <w:p w14:paraId="05BF3CFE" w14:textId="1932612C" w:rsidR="00C8408B" w:rsidRPr="00C7550F" w:rsidRDefault="00C8408B" w:rsidP="00C7550F">
            <w:pPr>
              <w:rPr>
                <w:rFonts w:asciiTheme="minorHAnsi" w:hAnsiTheme="minorHAnsi"/>
              </w:rPr>
            </w:pPr>
            <w:r w:rsidRPr="00C7550F">
              <w:rPr>
                <w:rFonts w:asciiTheme="minorHAnsi" w:hAnsiTheme="minorHAnsi"/>
              </w:rPr>
              <w:t>or floor construction differs from the approved plans, a revision is required prior to inspection</w:t>
            </w:r>
          </w:p>
        </w:tc>
      </w:tr>
    </w:tbl>
    <w:p w14:paraId="30B3A226" w14:textId="77777777" w:rsidR="00A429B0" w:rsidRPr="001F22F2" w:rsidRDefault="00A429B0">
      <w:pPr>
        <w:pStyle w:val="BodyText"/>
        <w:rPr>
          <w:rFonts w:asciiTheme="minorHAnsi" w:hAnsiTheme="minorHAnsi"/>
          <w:b/>
        </w:rPr>
      </w:pPr>
    </w:p>
    <w:p w14:paraId="766064AB" w14:textId="77777777" w:rsidR="00A429B0" w:rsidRPr="001F22F2" w:rsidRDefault="00A429B0">
      <w:pPr>
        <w:pStyle w:val="BodyText"/>
        <w:spacing w:before="7"/>
        <w:rPr>
          <w:rFonts w:asciiTheme="minorHAnsi" w:hAnsiTheme="minorHAnsi"/>
          <w:b/>
        </w:rPr>
      </w:pPr>
    </w:p>
    <w:tbl>
      <w:tblPr>
        <w:tblStyle w:val="TableGrid"/>
        <w:tblW w:w="0" w:type="auto"/>
        <w:tblLayout w:type="fixed"/>
        <w:tblLook w:val="01E0" w:firstRow="1" w:lastRow="1" w:firstColumn="1" w:lastColumn="1" w:noHBand="0" w:noVBand="0"/>
      </w:tblPr>
      <w:tblGrid>
        <w:gridCol w:w="626"/>
        <w:gridCol w:w="10168"/>
      </w:tblGrid>
      <w:tr w:rsidR="00A429B0" w:rsidRPr="001F22F2" w14:paraId="6816CBEB" w14:textId="77777777" w:rsidTr="00D3198B">
        <w:trPr>
          <w:trHeight w:val="268"/>
        </w:trPr>
        <w:tc>
          <w:tcPr>
            <w:tcW w:w="10794" w:type="dxa"/>
            <w:gridSpan w:val="2"/>
          </w:tcPr>
          <w:p w14:paraId="6B02DE4B"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Grounding</w:t>
            </w:r>
          </w:p>
        </w:tc>
      </w:tr>
      <w:tr w:rsidR="00A429B0" w:rsidRPr="001F22F2" w14:paraId="226B6AED" w14:textId="77777777" w:rsidTr="00D3198B">
        <w:trPr>
          <w:trHeight w:val="537"/>
        </w:trPr>
        <w:tc>
          <w:tcPr>
            <w:tcW w:w="626" w:type="dxa"/>
          </w:tcPr>
          <w:p w14:paraId="4D99ED22" w14:textId="77777777" w:rsidR="00A429B0" w:rsidRPr="001F22F2" w:rsidRDefault="00A429B0">
            <w:pPr>
              <w:pStyle w:val="TableParagraph"/>
              <w:spacing w:before="0"/>
              <w:ind w:left="0"/>
              <w:rPr>
                <w:rFonts w:asciiTheme="minorHAnsi" w:hAnsiTheme="minorHAnsi"/>
              </w:rPr>
            </w:pPr>
          </w:p>
        </w:tc>
        <w:tc>
          <w:tcPr>
            <w:tcW w:w="10168" w:type="dxa"/>
          </w:tcPr>
          <w:p w14:paraId="252B075F" w14:textId="77777777" w:rsidR="00A429B0" w:rsidRPr="00C7550F" w:rsidRDefault="00797687" w:rsidP="00C7550F">
            <w:pPr>
              <w:rPr>
                <w:rFonts w:asciiTheme="minorHAnsi" w:hAnsiTheme="minorHAnsi"/>
              </w:rPr>
            </w:pPr>
            <w:r w:rsidRPr="00C7550F">
              <w:rPr>
                <w:rFonts w:asciiTheme="minorHAnsi" w:hAnsiTheme="minorHAnsi"/>
              </w:rPr>
              <w:t>Any conductive battery racks, cases or trays must be connected to an equipment grounding conductor. (NEC</w:t>
            </w:r>
          </w:p>
          <w:p w14:paraId="7EC68F11" w14:textId="77777777" w:rsidR="00A429B0" w:rsidRPr="00C7550F" w:rsidRDefault="00797687" w:rsidP="00C7550F">
            <w:pPr>
              <w:rPr>
                <w:rFonts w:asciiTheme="minorHAnsi" w:hAnsiTheme="minorHAnsi"/>
              </w:rPr>
            </w:pPr>
            <w:r w:rsidRPr="00C7550F">
              <w:rPr>
                <w:rFonts w:asciiTheme="minorHAnsi" w:hAnsiTheme="minorHAnsi"/>
              </w:rPr>
              <w:t>250.110)</w:t>
            </w:r>
          </w:p>
        </w:tc>
      </w:tr>
      <w:tr w:rsidR="00A429B0" w:rsidRPr="001F22F2" w14:paraId="240A4890" w14:textId="77777777" w:rsidTr="00D3198B">
        <w:trPr>
          <w:trHeight w:val="537"/>
        </w:trPr>
        <w:tc>
          <w:tcPr>
            <w:tcW w:w="626" w:type="dxa"/>
          </w:tcPr>
          <w:p w14:paraId="0DF1C15F" w14:textId="77777777" w:rsidR="00A429B0" w:rsidRPr="001F22F2" w:rsidRDefault="00A429B0">
            <w:pPr>
              <w:pStyle w:val="TableParagraph"/>
              <w:spacing w:before="0"/>
              <w:ind w:left="0"/>
              <w:rPr>
                <w:rFonts w:asciiTheme="minorHAnsi" w:hAnsiTheme="minorHAnsi"/>
              </w:rPr>
            </w:pPr>
          </w:p>
        </w:tc>
        <w:tc>
          <w:tcPr>
            <w:tcW w:w="10168" w:type="dxa"/>
          </w:tcPr>
          <w:p w14:paraId="0E9400A1" w14:textId="77777777" w:rsidR="00A429B0" w:rsidRPr="00C7550F" w:rsidRDefault="00797687" w:rsidP="00C7550F">
            <w:pPr>
              <w:rPr>
                <w:rFonts w:asciiTheme="minorHAnsi" w:hAnsiTheme="minorHAnsi"/>
              </w:rPr>
            </w:pPr>
            <w:r w:rsidRPr="00C7550F">
              <w:rPr>
                <w:rFonts w:asciiTheme="minorHAnsi" w:hAnsiTheme="minorHAnsi"/>
              </w:rPr>
              <w:t>Equipment grounding conductor is properly identified as either bare, green, or green with continuous yellow</w:t>
            </w:r>
          </w:p>
          <w:p w14:paraId="5EE8CCEB" w14:textId="77777777" w:rsidR="00A429B0" w:rsidRPr="00C7550F" w:rsidRDefault="00797687" w:rsidP="00C7550F">
            <w:pPr>
              <w:rPr>
                <w:rFonts w:asciiTheme="minorHAnsi" w:hAnsiTheme="minorHAnsi"/>
              </w:rPr>
            </w:pPr>
            <w:r w:rsidRPr="00C7550F">
              <w:rPr>
                <w:rFonts w:asciiTheme="minorHAnsi" w:hAnsiTheme="minorHAnsi"/>
              </w:rPr>
              <w:t>stripe(s), (NEC 250.119)</w:t>
            </w:r>
          </w:p>
        </w:tc>
      </w:tr>
      <w:tr w:rsidR="00A429B0" w:rsidRPr="001F22F2" w14:paraId="69E70377" w14:textId="77777777" w:rsidTr="00D3198B">
        <w:trPr>
          <w:trHeight w:val="806"/>
        </w:trPr>
        <w:tc>
          <w:tcPr>
            <w:tcW w:w="626" w:type="dxa"/>
          </w:tcPr>
          <w:p w14:paraId="398E7316" w14:textId="77777777" w:rsidR="00A429B0" w:rsidRPr="001F22F2" w:rsidRDefault="00A429B0">
            <w:pPr>
              <w:pStyle w:val="TableParagraph"/>
              <w:spacing w:before="0"/>
              <w:ind w:left="0"/>
              <w:rPr>
                <w:rFonts w:asciiTheme="minorHAnsi" w:hAnsiTheme="minorHAnsi"/>
              </w:rPr>
            </w:pPr>
          </w:p>
        </w:tc>
        <w:tc>
          <w:tcPr>
            <w:tcW w:w="10168" w:type="dxa"/>
          </w:tcPr>
          <w:p w14:paraId="28E1E45E" w14:textId="77777777" w:rsidR="00A429B0" w:rsidRPr="00C7550F" w:rsidRDefault="00797687" w:rsidP="00C7550F">
            <w:pPr>
              <w:rPr>
                <w:rFonts w:asciiTheme="minorHAnsi" w:hAnsiTheme="minorHAnsi"/>
              </w:rPr>
            </w:pPr>
            <w:r w:rsidRPr="00C7550F">
              <w:rPr>
                <w:rFonts w:asciiTheme="minorHAnsi" w:hAnsiTheme="minorHAnsi"/>
              </w:rPr>
              <w:t>If there is no existing AC grounding electrode, the ESS contractor shall install (2) ground rods at the main electrical service. If there Is only (1) ground rod, a second one shall be installed. Ground rods shall be a</w:t>
            </w:r>
          </w:p>
          <w:p w14:paraId="7D02A7A9" w14:textId="7C84B505" w:rsidR="00A429B0" w:rsidRPr="00C7550F" w:rsidRDefault="00797687" w:rsidP="00C7550F">
            <w:pPr>
              <w:rPr>
                <w:rFonts w:asciiTheme="minorHAnsi" w:hAnsiTheme="minorHAnsi"/>
              </w:rPr>
            </w:pPr>
            <w:r w:rsidRPr="00C7550F">
              <w:rPr>
                <w:rFonts w:asciiTheme="minorHAnsi" w:hAnsiTheme="minorHAnsi"/>
              </w:rPr>
              <w:t>minimum of 6’ apart, (NEC</w:t>
            </w:r>
            <w:r w:rsidR="006D6386" w:rsidRPr="00C7550F">
              <w:rPr>
                <w:rFonts w:asciiTheme="minorHAnsi" w:hAnsiTheme="minorHAnsi"/>
              </w:rPr>
              <w:t xml:space="preserve"> Exhibit</w:t>
            </w:r>
            <w:r w:rsidRPr="00C7550F">
              <w:rPr>
                <w:rFonts w:asciiTheme="minorHAnsi" w:hAnsiTheme="minorHAnsi"/>
              </w:rPr>
              <w:t xml:space="preserve"> 250</w:t>
            </w:r>
            <w:r w:rsidR="006D6386" w:rsidRPr="00C7550F">
              <w:rPr>
                <w:rFonts w:asciiTheme="minorHAnsi" w:hAnsiTheme="minorHAnsi"/>
              </w:rPr>
              <w:t>.25</w:t>
            </w:r>
            <w:r w:rsidR="000C3AE9">
              <w:rPr>
                <w:rFonts w:asciiTheme="minorHAnsi" w:hAnsiTheme="minorHAnsi"/>
              </w:rPr>
              <w:t>,</w:t>
            </w:r>
            <w:r w:rsidR="006D6386" w:rsidRPr="00C7550F">
              <w:rPr>
                <w:rFonts w:asciiTheme="minorHAnsi" w:hAnsiTheme="minorHAnsi"/>
              </w:rPr>
              <w:t xml:space="preserve"> Article 250.53</w:t>
            </w:r>
            <w:r w:rsidRPr="00C7550F">
              <w:rPr>
                <w:rFonts w:asciiTheme="minorHAnsi" w:hAnsiTheme="minorHAnsi"/>
              </w:rPr>
              <w:t>, 706)</w:t>
            </w:r>
          </w:p>
        </w:tc>
      </w:tr>
    </w:tbl>
    <w:p w14:paraId="5E7CDCD9" w14:textId="77777777" w:rsidR="00A429B0" w:rsidRPr="001F22F2" w:rsidRDefault="00A429B0">
      <w:pPr>
        <w:pStyle w:val="BodyText"/>
        <w:rPr>
          <w:rFonts w:asciiTheme="minorHAnsi" w:hAnsiTheme="minorHAnsi"/>
          <w:b/>
        </w:rPr>
      </w:pPr>
    </w:p>
    <w:p w14:paraId="77314AE5" w14:textId="77777777" w:rsidR="00A429B0" w:rsidRPr="001F22F2" w:rsidRDefault="00A429B0">
      <w:pPr>
        <w:pStyle w:val="BodyText"/>
        <w:spacing w:before="7"/>
        <w:rPr>
          <w:rFonts w:asciiTheme="minorHAnsi" w:hAnsiTheme="minorHAnsi"/>
          <w:b/>
        </w:rPr>
      </w:pPr>
    </w:p>
    <w:tbl>
      <w:tblPr>
        <w:tblStyle w:val="TableGrid"/>
        <w:tblW w:w="0" w:type="auto"/>
        <w:tblLayout w:type="fixed"/>
        <w:tblLook w:val="01E0" w:firstRow="1" w:lastRow="1" w:firstColumn="1" w:lastColumn="1" w:noHBand="0" w:noVBand="0"/>
      </w:tblPr>
      <w:tblGrid>
        <w:gridCol w:w="626"/>
        <w:gridCol w:w="10168"/>
      </w:tblGrid>
      <w:tr w:rsidR="00A429B0" w:rsidRPr="001F22F2" w14:paraId="2CD067AB" w14:textId="77777777" w:rsidTr="00D3198B">
        <w:trPr>
          <w:trHeight w:val="270"/>
        </w:trPr>
        <w:tc>
          <w:tcPr>
            <w:tcW w:w="10794" w:type="dxa"/>
            <w:gridSpan w:val="2"/>
          </w:tcPr>
          <w:p w14:paraId="391319C5" w14:textId="77777777" w:rsidR="00A429B0" w:rsidRPr="001F22F2" w:rsidRDefault="00797687">
            <w:pPr>
              <w:pStyle w:val="TableParagraph"/>
              <w:spacing w:before="4" w:line="246" w:lineRule="exact"/>
              <w:ind w:left="107"/>
              <w:rPr>
                <w:rFonts w:asciiTheme="minorHAnsi" w:hAnsiTheme="minorHAnsi"/>
                <w:b/>
              </w:rPr>
            </w:pPr>
            <w:r w:rsidRPr="001F22F2">
              <w:rPr>
                <w:rFonts w:asciiTheme="minorHAnsi" w:hAnsiTheme="minorHAnsi"/>
                <w:b/>
                <w:w w:val="95"/>
              </w:rPr>
              <w:t>Main Electric Service</w:t>
            </w:r>
          </w:p>
        </w:tc>
      </w:tr>
      <w:tr w:rsidR="00A429B0" w:rsidRPr="001F22F2" w14:paraId="323B7F2A" w14:textId="77777777" w:rsidTr="00D3198B">
        <w:trPr>
          <w:trHeight w:val="268"/>
        </w:trPr>
        <w:tc>
          <w:tcPr>
            <w:tcW w:w="626" w:type="dxa"/>
          </w:tcPr>
          <w:p w14:paraId="5225E170" w14:textId="77777777" w:rsidR="00A429B0" w:rsidRPr="001F22F2" w:rsidRDefault="00A429B0">
            <w:pPr>
              <w:pStyle w:val="TableParagraph"/>
              <w:spacing w:before="0"/>
              <w:ind w:left="0"/>
              <w:rPr>
                <w:rFonts w:asciiTheme="minorHAnsi" w:hAnsiTheme="minorHAnsi"/>
              </w:rPr>
            </w:pPr>
          </w:p>
        </w:tc>
        <w:tc>
          <w:tcPr>
            <w:tcW w:w="10168" w:type="dxa"/>
          </w:tcPr>
          <w:p w14:paraId="1246691F" w14:textId="77777777" w:rsidR="00A429B0" w:rsidRPr="00C7550F" w:rsidRDefault="00797687" w:rsidP="00C7550F">
            <w:pPr>
              <w:rPr>
                <w:rFonts w:asciiTheme="minorHAnsi" w:hAnsiTheme="minorHAnsi"/>
              </w:rPr>
            </w:pPr>
            <w:r w:rsidRPr="00C7550F">
              <w:rPr>
                <w:rFonts w:asciiTheme="minorHAnsi" w:hAnsiTheme="minorHAnsi"/>
              </w:rPr>
              <w:t>Circuit breakers shall be of the same manufacturer as the main service panel, (NEC 110.3)</w:t>
            </w:r>
          </w:p>
        </w:tc>
      </w:tr>
    </w:tbl>
    <w:p w14:paraId="2F8A2AE0" w14:textId="77777777" w:rsidR="00A429B0" w:rsidRPr="001F22F2" w:rsidRDefault="00A429B0">
      <w:pPr>
        <w:pStyle w:val="BodyText"/>
        <w:rPr>
          <w:rFonts w:asciiTheme="minorHAnsi" w:hAnsiTheme="minorHAnsi"/>
          <w:b/>
        </w:rPr>
      </w:pPr>
    </w:p>
    <w:p w14:paraId="629BAB30" w14:textId="77777777" w:rsidR="00A429B0" w:rsidRPr="001F22F2" w:rsidRDefault="00A429B0">
      <w:pPr>
        <w:pStyle w:val="BodyText"/>
        <w:spacing w:before="7"/>
        <w:rPr>
          <w:rFonts w:asciiTheme="minorHAnsi" w:hAnsiTheme="minorHAnsi"/>
          <w:b/>
        </w:rPr>
      </w:pPr>
    </w:p>
    <w:tbl>
      <w:tblPr>
        <w:tblStyle w:val="TableGrid"/>
        <w:tblW w:w="0" w:type="auto"/>
        <w:tblLayout w:type="fixed"/>
        <w:tblLook w:val="01E0" w:firstRow="1" w:lastRow="1" w:firstColumn="1" w:lastColumn="1" w:noHBand="0" w:noVBand="0"/>
      </w:tblPr>
      <w:tblGrid>
        <w:gridCol w:w="626"/>
        <w:gridCol w:w="10168"/>
      </w:tblGrid>
      <w:tr w:rsidR="00A429B0" w:rsidRPr="001F22F2" w14:paraId="5E8CFD02" w14:textId="77777777" w:rsidTr="00D3198B">
        <w:trPr>
          <w:trHeight w:val="268"/>
        </w:trPr>
        <w:tc>
          <w:tcPr>
            <w:tcW w:w="10794" w:type="dxa"/>
            <w:gridSpan w:val="2"/>
          </w:tcPr>
          <w:p w14:paraId="09034C26"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Ventilation</w:t>
            </w:r>
          </w:p>
        </w:tc>
      </w:tr>
      <w:tr w:rsidR="00A429B0" w:rsidRPr="001F22F2" w14:paraId="0A48A674" w14:textId="77777777" w:rsidTr="00D3198B">
        <w:trPr>
          <w:trHeight w:val="268"/>
        </w:trPr>
        <w:tc>
          <w:tcPr>
            <w:tcW w:w="626" w:type="dxa"/>
          </w:tcPr>
          <w:p w14:paraId="61D32033" w14:textId="77777777" w:rsidR="00A429B0" w:rsidRPr="001F22F2" w:rsidRDefault="00A429B0">
            <w:pPr>
              <w:pStyle w:val="TableParagraph"/>
              <w:spacing w:before="0"/>
              <w:ind w:left="0"/>
              <w:rPr>
                <w:rFonts w:asciiTheme="minorHAnsi" w:hAnsiTheme="minorHAnsi"/>
              </w:rPr>
            </w:pPr>
          </w:p>
        </w:tc>
        <w:tc>
          <w:tcPr>
            <w:tcW w:w="10168" w:type="dxa"/>
          </w:tcPr>
          <w:p w14:paraId="7B8722A2" w14:textId="2C32D147" w:rsidR="00A429B0" w:rsidRPr="001F22F2" w:rsidRDefault="00797687">
            <w:pPr>
              <w:pStyle w:val="TableParagraph"/>
              <w:spacing w:line="246" w:lineRule="exact"/>
              <w:rPr>
                <w:rFonts w:asciiTheme="minorHAnsi" w:hAnsiTheme="minorHAnsi"/>
              </w:rPr>
            </w:pPr>
            <w:r w:rsidRPr="001F22F2">
              <w:rPr>
                <w:rFonts w:asciiTheme="minorHAnsi" w:hAnsiTheme="minorHAnsi"/>
              </w:rPr>
              <w:t>Provide adequate ventilation for batteries</w:t>
            </w:r>
            <w:r w:rsidR="00D11EF1" w:rsidRPr="001F22F2">
              <w:rPr>
                <w:rFonts w:asciiTheme="minorHAnsi" w:hAnsiTheme="minorHAnsi"/>
              </w:rPr>
              <w:t xml:space="preserve"> per manufacturer’s requirements</w:t>
            </w:r>
            <w:r w:rsidRPr="001F22F2">
              <w:rPr>
                <w:rFonts w:asciiTheme="minorHAnsi" w:hAnsiTheme="minorHAnsi"/>
              </w:rPr>
              <w:t>. (NEC 706.10(A))</w:t>
            </w:r>
          </w:p>
        </w:tc>
      </w:tr>
      <w:tr w:rsidR="00A429B0" w:rsidRPr="001F22F2" w14:paraId="17B54FFA" w14:textId="77777777" w:rsidTr="00D3198B">
        <w:trPr>
          <w:trHeight w:val="537"/>
        </w:trPr>
        <w:tc>
          <w:tcPr>
            <w:tcW w:w="626" w:type="dxa"/>
          </w:tcPr>
          <w:p w14:paraId="20265E86" w14:textId="77777777" w:rsidR="00A429B0" w:rsidRPr="001F22F2" w:rsidRDefault="00A429B0">
            <w:pPr>
              <w:pStyle w:val="TableParagraph"/>
              <w:spacing w:before="0"/>
              <w:ind w:left="0"/>
              <w:rPr>
                <w:rFonts w:asciiTheme="minorHAnsi" w:hAnsiTheme="minorHAnsi"/>
              </w:rPr>
            </w:pPr>
          </w:p>
        </w:tc>
        <w:tc>
          <w:tcPr>
            <w:tcW w:w="10168" w:type="dxa"/>
          </w:tcPr>
          <w:p w14:paraId="7B04FEDC" w14:textId="77777777" w:rsidR="00A429B0" w:rsidRPr="001F22F2" w:rsidRDefault="00797687">
            <w:pPr>
              <w:pStyle w:val="TableParagraph"/>
              <w:rPr>
                <w:rFonts w:asciiTheme="minorHAnsi" w:hAnsiTheme="minorHAnsi"/>
              </w:rPr>
            </w:pPr>
            <w:r w:rsidRPr="001F22F2">
              <w:rPr>
                <w:rFonts w:asciiTheme="minorHAnsi" w:hAnsiTheme="minorHAnsi"/>
                <w:w w:val="95"/>
              </w:rPr>
              <w:t>Batteries/enclosures</w:t>
            </w:r>
            <w:r w:rsidRPr="001F22F2">
              <w:rPr>
                <w:rFonts w:asciiTheme="minorHAnsi" w:hAnsiTheme="minorHAnsi"/>
                <w:spacing w:val="-20"/>
                <w:w w:val="95"/>
              </w:rPr>
              <w:t xml:space="preserve"> </w:t>
            </w:r>
            <w:r w:rsidRPr="001F22F2">
              <w:rPr>
                <w:rFonts w:asciiTheme="minorHAnsi" w:hAnsiTheme="minorHAnsi"/>
                <w:w w:val="95"/>
              </w:rPr>
              <w:t>contain</w:t>
            </w:r>
            <w:r w:rsidRPr="001F22F2">
              <w:rPr>
                <w:rFonts w:asciiTheme="minorHAnsi" w:hAnsiTheme="minorHAnsi"/>
                <w:spacing w:val="-20"/>
                <w:w w:val="95"/>
              </w:rPr>
              <w:t xml:space="preserve"> </w:t>
            </w:r>
            <w:r w:rsidRPr="001F22F2">
              <w:rPr>
                <w:rFonts w:asciiTheme="minorHAnsi" w:hAnsiTheme="minorHAnsi"/>
                <w:w w:val="95"/>
              </w:rPr>
              <w:t>ventilation</w:t>
            </w:r>
            <w:r w:rsidRPr="001F22F2">
              <w:rPr>
                <w:rFonts w:asciiTheme="minorHAnsi" w:hAnsiTheme="minorHAnsi"/>
                <w:spacing w:val="-22"/>
                <w:w w:val="95"/>
              </w:rPr>
              <w:t xml:space="preserve"> </w:t>
            </w:r>
            <w:r w:rsidRPr="001F22F2">
              <w:rPr>
                <w:rFonts w:asciiTheme="minorHAnsi" w:hAnsiTheme="minorHAnsi"/>
                <w:w w:val="95"/>
              </w:rPr>
              <w:t>equipment</w:t>
            </w:r>
            <w:r w:rsidRPr="001F22F2">
              <w:rPr>
                <w:rFonts w:asciiTheme="minorHAnsi" w:hAnsiTheme="minorHAnsi"/>
                <w:spacing w:val="-21"/>
                <w:w w:val="95"/>
              </w:rPr>
              <w:t xml:space="preserve"> </w:t>
            </w:r>
            <w:r w:rsidRPr="001F22F2">
              <w:rPr>
                <w:rFonts w:asciiTheme="minorHAnsi" w:hAnsiTheme="minorHAnsi"/>
                <w:w w:val="95"/>
              </w:rPr>
              <w:t>to</w:t>
            </w:r>
            <w:r w:rsidRPr="001F22F2">
              <w:rPr>
                <w:rFonts w:asciiTheme="minorHAnsi" w:hAnsiTheme="minorHAnsi"/>
                <w:spacing w:val="-21"/>
                <w:w w:val="95"/>
              </w:rPr>
              <w:t xml:space="preserve"> </w:t>
            </w:r>
            <w:r w:rsidRPr="001F22F2">
              <w:rPr>
                <w:rFonts w:asciiTheme="minorHAnsi" w:hAnsiTheme="minorHAnsi"/>
                <w:w w:val="95"/>
              </w:rPr>
              <w:t>prevent</w:t>
            </w:r>
            <w:r w:rsidRPr="001F22F2">
              <w:rPr>
                <w:rFonts w:asciiTheme="minorHAnsi" w:hAnsiTheme="minorHAnsi"/>
                <w:spacing w:val="-21"/>
                <w:w w:val="95"/>
              </w:rPr>
              <w:t xml:space="preserve"> </w:t>
            </w:r>
            <w:r w:rsidRPr="001F22F2">
              <w:rPr>
                <w:rFonts w:asciiTheme="minorHAnsi" w:hAnsiTheme="minorHAnsi"/>
                <w:w w:val="95"/>
              </w:rPr>
              <w:t>excessive</w:t>
            </w:r>
            <w:r w:rsidRPr="001F22F2">
              <w:rPr>
                <w:rFonts w:asciiTheme="minorHAnsi" w:hAnsiTheme="minorHAnsi"/>
                <w:spacing w:val="-21"/>
                <w:w w:val="95"/>
              </w:rPr>
              <w:t xml:space="preserve"> </w:t>
            </w:r>
            <w:r w:rsidRPr="001F22F2">
              <w:rPr>
                <w:rFonts w:asciiTheme="minorHAnsi" w:hAnsiTheme="minorHAnsi"/>
                <w:w w:val="95"/>
              </w:rPr>
              <w:t>accumulation</w:t>
            </w:r>
            <w:r w:rsidRPr="001F22F2">
              <w:rPr>
                <w:rFonts w:asciiTheme="minorHAnsi" w:hAnsiTheme="minorHAnsi"/>
                <w:spacing w:val="-22"/>
                <w:w w:val="95"/>
              </w:rPr>
              <w:t xml:space="preserve"> </w:t>
            </w:r>
            <w:r w:rsidRPr="001F22F2">
              <w:rPr>
                <w:rFonts w:asciiTheme="minorHAnsi" w:hAnsiTheme="minorHAnsi"/>
                <w:w w:val="95"/>
              </w:rPr>
              <w:t>of</w:t>
            </w:r>
            <w:r w:rsidRPr="001F22F2">
              <w:rPr>
                <w:rFonts w:asciiTheme="minorHAnsi" w:hAnsiTheme="minorHAnsi"/>
                <w:spacing w:val="-20"/>
                <w:w w:val="95"/>
              </w:rPr>
              <w:t xml:space="preserve"> </w:t>
            </w:r>
            <w:r w:rsidRPr="001F22F2">
              <w:rPr>
                <w:rFonts w:asciiTheme="minorHAnsi" w:hAnsiTheme="minorHAnsi"/>
                <w:w w:val="95"/>
              </w:rPr>
              <w:t>gas</w:t>
            </w:r>
            <w:r w:rsidRPr="001F22F2">
              <w:rPr>
                <w:rFonts w:asciiTheme="minorHAnsi" w:hAnsiTheme="minorHAnsi"/>
                <w:spacing w:val="-20"/>
                <w:w w:val="95"/>
              </w:rPr>
              <w:t xml:space="preserve"> </w:t>
            </w:r>
            <w:r w:rsidRPr="001F22F2">
              <w:rPr>
                <w:rFonts w:asciiTheme="minorHAnsi" w:hAnsiTheme="minorHAnsi"/>
                <w:w w:val="95"/>
              </w:rPr>
              <w:t>pressure</w:t>
            </w:r>
            <w:r w:rsidRPr="001F22F2">
              <w:rPr>
                <w:rFonts w:asciiTheme="minorHAnsi" w:hAnsiTheme="minorHAnsi"/>
                <w:spacing w:val="-21"/>
                <w:w w:val="95"/>
              </w:rPr>
              <w:t xml:space="preserve"> </w:t>
            </w:r>
            <w:r w:rsidRPr="001F22F2">
              <w:rPr>
                <w:rFonts w:asciiTheme="minorHAnsi" w:hAnsiTheme="minorHAnsi"/>
                <w:w w:val="95"/>
              </w:rPr>
              <w:t>and/or</w:t>
            </w:r>
          </w:p>
          <w:p w14:paraId="09B2495E" w14:textId="34934DA3" w:rsidR="00A429B0" w:rsidRPr="001F22F2" w:rsidRDefault="00797687">
            <w:pPr>
              <w:pStyle w:val="TableParagraph"/>
              <w:spacing w:before="16" w:line="246" w:lineRule="exact"/>
              <w:rPr>
                <w:rFonts w:asciiTheme="minorHAnsi" w:hAnsiTheme="minorHAnsi"/>
              </w:rPr>
            </w:pPr>
            <w:r w:rsidRPr="001F22F2">
              <w:rPr>
                <w:rFonts w:asciiTheme="minorHAnsi" w:hAnsiTheme="minorHAnsi"/>
              </w:rPr>
              <w:t>gas ignition, (NEC 706.10)</w:t>
            </w:r>
          </w:p>
        </w:tc>
      </w:tr>
    </w:tbl>
    <w:p w14:paraId="1DE3F386" w14:textId="77777777" w:rsidR="00A429B0" w:rsidRPr="001F22F2" w:rsidRDefault="00A429B0">
      <w:pPr>
        <w:spacing w:line="246" w:lineRule="exact"/>
        <w:rPr>
          <w:rFonts w:asciiTheme="minorHAnsi" w:hAnsiTheme="minorHAnsi"/>
        </w:rPr>
        <w:sectPr w:rsidR="00A429B0" w:rsidRPr="001F22F2" w:rsidSect="00D3198B">
          <w:pgSz w:w="12240" w:h="15840"/>
          <w:pgMar w:top="1080" w:right="720" w:bottom="720" w:left="720" w:header="720" w:footer="720" w:gutter="0"/>
          <w:cols w:space="720"/>
        </w:sectPr>
      </w:pPr>
    </w:p>
    <w:tbl>
      <w:tblPr>
        <w:tblStyle w:val="TableGrid"/>
        <w:tblW w:w="0" w:type="auto"/>
        <w:tblLayout w:type="fixed"/>
        <w:tblLook w:val="01E0" w:firstRow="1" w:lastRow="1" w:firstColumn="1" w:lastColumn="1" w:noHBand="0" w:noVBand="0"/>
      </w:tblPr>
      <w:tblGrid>
        <w:gridCol w:w="986"/>
        <w:gridCol w:w="9808"/>
      </w:tblGrid>
      <w:tr w:rsidR="00A429B0" w:rsidRPr="001F22F2" w14:paraId="64739309" w14:textId="77777777" w:rsidTr="00D3198B">
        <w:trPr>
          <w:trHeight w:val="268"/>
        </w:trPr>
        <w:tc>
          <w:tcPr>
            <w:tcW w:w="10794" w:type="dxa"/>
            <w:gridSpan w:val="2"/>
          </w:tcPr>
          <w:p w14:paraId="4D021885"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lastRenderedPageBreak/>
              <w:t>Connections and Terminations</w:t>
            </w:r>
          </w:p>
        </w:tc>
      </w:tr>
      <w:tr w:rsidR="00A429B0" w:rsidRPr="001F22F2" w14:paraId="48A4EF7A" w14:textId="77777777" w:rsidTr="00D3198B">
        <w:trPr>
          <w:trHeight w:val="268"/>
        </w:trPr>
        <w:tc>
          <w:tcPr>
            <w:tcW w:w="986" w:type="dxa"/>
          </w:tcPr>
          <w:p w14:paraId="40DCAF9D" w14:textId="77777777" w:rsidR="00A429B0" w:rsidRPr="001F22F2" w:rsidRDefault="00A429B0">
            <w:pPr>
              <w:pStyle w:val="TableParagraph"/>
              <w:spacing w:before="0"/>
              <w:ind w:left="0"/>
              <w:rPr>
                <w:rFonts w:asciiTheme="minorHAnsi" w:hAnsiTheme="minorHAnsi"/>
              </w:rPr>
            </w:pPr>
          </w:p>
        </w:tc>
        <w:tc>
          <w:tcPr>
            <w:tcW w:w="9808" w:type="dxa"/>
          </w:tcPr>
          <w:p w14:paraId="6D49F0BA" w14:textId="77777777" w:rsidR="00A429B0" w:rsidRPr="00C7550F" w:rsidRDefault="00797687" w:rsidP="00C7550F">
            <w:pPr>
              <w:rPr>
                <w:rFonts w:asciiTheme="minorHAnsi" w:hAnsiTheme="minorHAnsi"/>
              </w:rPr>
            </w:pPr>
            <w:r w:rsidRPr="00C7550F">
              <w:rPr>
                <w:rFonts w:asciiTheme="minorHAnsi" w:hAnsiTheme="minorHAnsi"/>
              </w:rPr>
              <w:t>Cell terminations have measures taken to prevent</w:t>
            </w:r>
            <w:r w:rsidR="00D11EF1" w:rsidRPr="00C7550F">
              <w:rPr>
                <w:rFonts w:asciiTheme="minorHAnsi" w:hAnsiTheme="minorHAnsi"/>
              </w:rPr>
              <w:t xml:space="preserve"> </w:t>
            </w:r>
            <w:r w:rsidRPr="00C7550F">
              <w:rPr>
                <w:rFonts w:asciiTheme="minorHAnsi" w:hAnsiTheme="minorHAnsi"/>
              </w:rPr>
              <w:t>corrosion</w:t>
            </w:r>
          </w:p>
        </w:tc>
      </w:tr>
      <w:tr w:rsidR="00A429B0" w:rsidRPr="001F22F2" w14:paraId="70703339" w14:textId="77777777" w:rsidTr="00D3198B">
        <w:trPr>
          <w:trHeight w:val="268"/>
        </w:trPr>
        <w:tc>
          <w:tcPr>
            <w:tcW w:w="986" w:type="dxa"/>
          </w:tcPr>
          <w:p w14:paraId="7A840856" w14:textId="77777777" w:rsidR="00A429B0" w:rsidRPr="001F22F2" w:rsidRDefault="00A429B0">
            <w:pPr>
              <w:pStyle w:val="TableParagraph"/>
              <w:spacing w:before="0"/>
              <w:ind w:left="0"/>
              <w:rPr>
                <w:rFonts w:asciiTheme="minorHAnsi" w:hAnsiTheme="minorHAnsi"/>
              </w:rPr>
            </w:pPr>
          </w:p>
        </w:tc>
        <w:tc>
          <w:tcPr>
            <w:tcW w:w="9808" w:type="dxa"/>
          </w:tcPr>
          <w:p w14:paraId="3640D676" w14:textId="77777777" w:rsidR="00A429B0" w:rsidRPr="00C7550F" w:rsidRDefault="00797687" w:rsidP="00C7550F">
            <w:pPr>
              <w:rPr>
                <w:rFonts w:asciiTheme="minorHAnsi" w:hAnsiTheme="minorHAnsi"/>
              </w:rPr>
            </w:pPr>
            <w:r w:rsidRPr="00C7550F">
              <w:rPr>
                <w:rFonts w:asciiTheme="minorHAnsi" w:hAnsiTheme="minorHAnsi"/>
              </w:rPr>
              <w:t>Electrical connections do not put mechanical strain on battery terminals, (NEC 706.31, 110.14(A))</w:t>
            </w:r>
          </w:p>
        </w:tc>
      </w:tr>
      <w:tr w:rsidR="00A429B0" w:rsidRPr="001F22F2" w14:paraId="294F5029" w14:textId="77777777" w:rsidTr="00D3198B">
        <w:trPr>
          <w:trHeight w:val="616"/>
        </w:trPr>
        <w:tc>
          <w:tcPr>
            <w:tcW w:w="986" w:type="dxa"/>
          </w:tcPr>
          <w:p w14:paraId="1B6A010E" w14:textId="77777777" w:rsidR="00A429B0" w:rsidRPr="001F22F2" w:rsidRDefault="00A429B0">
            <w:pPr>
              <w:pStyle w:val="TableParagraph"/>
              <w:spacing w:before="0"/>
              <w:ind w:left="0"/>
              <w:rPr>
                <w:rFonts w:asciiTheme="minorHAnsi" w:hAnsiTheme="minorHAnsi"/>
              </w:rPr>
            </w:pPr>
          </w:p>
        </w:tc>
        <w:tc>
          <w:tcPr>
            <w:tcW w:w="9808" w:type="dxa"/>
          </w:tcPr>
          <w:p w14:paraId="4CB72690" w14:textId="77777777" w:rsidR="00A429B0" w:rsidRPr="00C7550F" w:rsidRDefault="00797687" w:rsidP="00C7550F">
            <w:pPr>
              <w:rPr>
                <w:rFonts w:asciiTheme="minorHAnsi" w:hAnsiTheme="minorHAnsi"/>
              </w:rPr>
            </w:pPr>
            <w:r w:rsidRPr="00C7550F">
              <w:rPr>
                <w:rFonts w:asciiTheme="minorHAnsi" w:hAnsiTheme="minorHAnsi"/>
              </w:rPr>
              <w:t>Overcurrent protection of ungrounded conductors shall have overcurrent protection device(s) located as close as practicable to the battery terminals in an unclassified location, (NEC 480.5, 706.7)</w:t>
            </w:r>
          </w:p>
        </w:tc>
      </w:tr>
      <w:tr w:rsidR="00A429B0" w:rsidRPr="001F22F2" w14:paraId="6558BB22" w14:textId="77777777" w:rsidTr="00D3198B">
        <w:trPr>
          <w:trHeight w:val="805"/>
        </w:trPr>
        <w:tc>
          <w:tcPr>
            <w:tcW w:w="986" w:type="dxa"/>
          </w:tcPr>
          <w:p w14:paraId="62C2F34F" w14:textId="77777777" w:rsidR="00A429B0" w:rsidRPr="001F22F2" w:rsidRDefault="00A429B0">
            <w:pPr>
              <w:pStyle w:val="TableParagraph"/>
              <w:spacing w:before="0"/>
              <w:ind w:left="0"/>
              <w:rPr>
                <w:rFonts w:asciiTheme="minorHAnsi" w:hAnsiTheme="minorHAnsi"/>
              </w:rPr>
            </w:pPr>
          </w:p>
        </w:tc>
        <w:tc>
          <w:tcPr>
            <w:tcW w:w="9808" w:type="dxa"/>
          </w:tcPr>
          <w:p w14:paraId="6BFD034D" w14:textId="347E614F" w:rsidR="00A429B0" w:rsidRPr="00C7550F" w:rsidRDefault="00797687" w:rsidP="00C7550F">
            <w:pPr>
              <w:rPr>
                <w:rFonts w:asciiTheme="minorHAnsi" w:hAnsiTheme="minorHAnsi"/>
              </w:rPr>
            </w:pPr>
            <w:r w:rsidRPr="00C7550F">
              <w:rPr>
                <w:rFonts w:asciiTheme="minorHAnsi" w:hAnsiTheme="minorHAnsi"/>
              </w:rPr>
              <w:t>Battery circuit and equipment shall be protected by overcurrent protective devices as close as practicable to the storage battery terminals in accordance with the requirements of NEC Article 240, (NEC 240.21(H),</w:t>
            </w:r>
          </w:p>
          <w:p w14:paraId="64748680" w14:textId="4C178C3E" w:rsidR="00A429B0" w:rsidRPr="00C7550F" w:rsidRDefault="00797687" w:rsidP="00C7550F">
            <w:pPr>
              <w:rPr>
                <w:rFonts w:asciiTheme="minorHAnsi" w:hAnsiTheme="minorHAnsi"/>
              </w:rPr>
            </w:pPr>
            <w:r w:rsidRPr="00C7550F">
              <w:rPr>
                <w:rFonts w:asciiTheme="minorHAnsi" w:hAnsiTheme="minorHAnsi"/>
              </w:rPr>
              <w:t>705.65(A))</w:t>
            </w:r>
          </w:p>
        </w:tc>
      </w:tr>
      <w:tr w:rsidR="00A429B0" w:rsidRPr="001F22F2" w14:paraId="55B40457" w14:textId="77777777" w:rsidTr="00D3198B">
        <w:trPr>
          <w:trHeight w:val="806"/>
        </w:trPr>
        <w:tc>
          <w:tcPr>
            <w:tcW w:w="986" w:type="dxa"/>
          </w:tcPr>
          <w:p w14:paraId="180FF101" w14:textId="77777777" w:rsidR="00A429B0" w:rsidRPr="001F22F2" w:rsidRDefault="00A429B0">
            <w:pPr>
              <w:pStyle w:val="TableParagraph"/>
              <w:spacing w:before="0"/>
              <w:ind w:left="0"/>
              <w:rPr>
                <w:rFonts w:asciiTheme="minorHAnsi" w:hAnsiTheme="minorHAnsi"/>
              </w:rPr>
            </w:pPr>
          </w:p>
        </w:tc>
        <w:tc>
          <w:tcPr>
            <w:tcW w:w="9808" w:type="dxa"/>
          </w:tcPr>
          <w:p w14:paraId="369D6B30" w14:textId="77777777" w:rsidR="00A429B0" w:rsidRPr="00C7550F" w:rsidRDefault="00797687" w:rsidP="00C7550F">
            <w:pPr>
              <w:rPr>
                <w:rFonts w:asciiTheme="minorHAnsi" w:hAnsiTheme="minorHAnsi"/>
              </w:rPr>
            </w:pPr>
            <w:r w:rsidRPr="00C7550F">
              <w:rPr>
                <w:rFonts w:asciiTheme="minorHAnsi" w:hAnsiTheme="minorHAnsi"/>
              </w:rPr>
              <w:t>Unless the short-circuit currents from all sources do not exceed the ampacity of the conductors, storage battery inverters shall be protected by overcurrent protective devices from all other sources, (NEC</w:t>
            </w:r>
          </w:p>
          <w:p w14:paraId="5025D047" w14:textId="77777777" w:rsidR="00A429B0" w:rsidRPr="00C7550F" w:rsidRDefault="00797687" w:rsidP="00C7550F">
            <w:pPr>
              <w:rPr>
                <w:rFonts w:asciiTheme="minorHAnsi" w:hAnsiTheme="minorHAnsi"/>
              </w:rPr>
            </w:pPr>
            <w:r w:rsidRPr="00C7550F">
              <w:rPr>
                <w:rFonts w:asciiTheme="minorHAnsi" w:hAnsiTheme="minorHAnsi"/>
              </w:rPr>
              <w:t>705.65(A))</w:t>
            </w:r>
          </w:p>
        </w:tc>
      </w:tr>
      <w:tr w:rsidR="00A429B0" w:rsidRPr="001F22F2" w14:paraId="68E736B2" w14:textId="77777777" w:rsidTr="00D3198B">
        <w:trPr>
          <w:trHeight w:val="640"/>
        </w:trPr>
        <w:tc>
          <w:tcPr>
            <w:tcW w:w="986" w:type="dxa"/>
          </w:tcPr>
          <w:p w14:paraId="7617618F" w14:textId="77777777" w:rsidR="00A429B0" w:rsidRPr="001F22F2" w:rsidRDefault="00A429B0">
            <w:pPr>
              <w:pStyle w:val="TableParagraph"/>
              <w:spacing w:before="0"/>
              <w:ind w:left="0"/>
              <w:rPr>
                <w:rFonts w:asciiTheme="minorHAnsi" w:hAnsiTheme="minorHAnsi"/>
              </w:rPr>
            </w:pPr>
          </w:p>
        </w:tc>
        <w:tc>
          <w:tcPr>
            <w:tcW w:w="9808" w:type="dxa"/>
          </w:tcPr>
          <w:p w14:paraId="7A0690A0" w14:textId="77777777" w:rsidR="00A429B0" w:rsidRPr="00C7550F" w:rsidRDefault="00797687" w:rsidP="00C7550F">
            <w:pPr>
              <w:rPr>
                <w:rFonts w:asciiTheme="minorHAnsi" w:hAnsiTheme="minorHAnsi"/>
              </w:rPr>
            </w:pPr>
            <w:r w:rsidRPr="00C7550F">
              <w:rPr>
                <w:rFonts w:asciiTheme="minorHAnsi" w:hAnsiTheme="minorHAnsi"/>
              </w:rPr>
              <w:t>A listed current-limiting overcurrent protective device shall be installed adjacent to the ESS for each dc output circuit, (NEC 706.21(C))</w:t>
            </w:r>
          </w:p>
        </w:tc>
      </w:tr>
      <w:tr w:rsidR="00A429B0" w:rsidRPr="001F22F2" w14:paraId="633FAECD" w14:textId="77777777" w:rsidTr="00D3198B">
        <w:trPr>
          <w:trHeight w:val="805"/>
        </w:trPr>
        <w:tc>
          <w:tcPr>
            <w:tcW w:w="986" w:type="dxa"/>
          </w:tcPr>
          <w:p w14:paraId="092A2C26" w14:textId="77777777" w:rsidR="00A429B0" w:rsidRPr="001F22F2" w:rsidRDefault="00A429B0">
            <w:pPr>
              <w:pStyle w:val="TableParagraph"/>
              <w:spacing w:before="0"/>
              <w:ind w:left="0"/>
              <w:rPr>
                <w:rFonts w:asciiTheme="minorHAnsi" w:hAnsiTheme="minorHAnsi"/>
              </w:rPr>
            </w:pPr>
          </w:p>
        </w:tc>
        <w:tc>
          <w:tcPr>
            <w:tcW w:w="9808" w:type="dxa"/>
          </w:tcPr>
          <w:p w14:paraId="31EC6D58" w14:textId="3E6C0529" w:rsidR="00A429B0" w:rsidRPr="00C7550F" w:rsidRDefault="00797687" w:rsidP="00C7550F">
            <w:pPr>
              <w:rPr>
                <w:rFonts w:asciiTheme="minorHAnsi" w:hAnsiTheme="minorHAnsi"/>
              </w:rPr>
            </w:pPr>
            <w:r w:rsidRPr="00C7550F">
              <w:rPr>
                <w:rFonts w:asciiTheme="minorHAnsi" w:hAnsiTheme="minorHAnsi"/>
              </w:rPr>
              <w:t>In an ac-coupled system, the plug-in type circuit breaker connected to the output of the storage battery or multimode inverter is required to be secured, (NEC 408.36(D),</w:t>
            </w:r>
          </w:p>
          <w:p w14:paraId="562BA401" w14:textId="77777777" w:rsidR="00A429B0" w:rsidRPr="00C7550F" w:rsidRDefault="00797687" w:rsidP="00C7550F">
            <w:pPr>
              <w:rPr>
                <w:rFonts w:asciiTheme="minorHAnsi" w:hAnsiTheme="minorHAnsi"/>
              </w:rPr>
            </w:pPr>
            <w:r w:rsidRPr="00C7550F">
              <w:rPr>
                <w:rFonts w:asciiTheme="minorHAnsi" w:hAnsiTheme="minorHAnsi"/>
              </w:rPr>
              <w:t>710.15(E))</w:t>
            </w:r>
          </w:p>
        </w:tc>
      </w:tr>
      <w:tr w:rsidR="00A429B0" w:rsidRPr="001F22F2" w14:paraId="6D67E124" w14:textId="77777777" w:rsidTr="00D3198B">
        <w:trPr>
          <w:trHeight w:val="537"/>
        </w:trPr>
        <w:tc>
          <w:tcPr>
            <w:tcW w:w="986" w:type="dxa"/>
          </w:tcPr>
          <w:p w14:paraId="1D21D2A7" w14:textId="77777777" w:rsidR="00A429B0" w:rsidRPr="001F22F2" w:rsidRDefault="00A429B0">
            <w:pPr>
              <w:pStyle w:val="TableParagraph"/>
              <w:spacing w:before="0"/>
              <w:ind w:left="0"/>
              <w:rPr>
                <w:rFonts w:asciiTheme="minorHAnsi" w:hAnsiTheme="minorHAnsi"/>
              </w:rPr>
            </w:pPr>
          </w:p>
        </w:tc>
        <w:tc>
          <w:tcPr>
            <w:tcW w:w="9808" w:type="dxa"/>
          </w:tcPr>
          <w:p w14:paraId="359B24E3" w14:textId="77777777" w:rsidR="00A429B0" w:rsidRPr="00C7550F" w:rsidRDefault="00797687" w:rsidP="00C7550F">
            <w:pPr>
              <w:rPr>
                <w:rFonts w:asciiTheme="minorHAnsi" w:hAnsiTheme="minorHAnsi"/>
              </w:rPr>
            </w:pPr>
            <w:r w:rsidRPr="00C7550F">
              <w:rPr>
                <w:rFonts w:asciiTheme="minorHAnsi" w:hAnsiTheme="minorHAnsi"/>
              </w:rPr>
              <w:t>Storage battery, multimode, and utility-interactive inverter output circuit breakers that are marked “Line”</w:t>
            </w:r>
          </w:p>
          <w:p w14:paraId="1BE2F89A" w14:textId="510EB92E" w:rsidR="00A429B0" w:rsidRPr="00C7550F" w:rsidRDefault="00797687" w:rsidP="00C7550F">
            <w:pPr>
              <w:rPr>
                <w:rFonts w:asciiTheme="minorHAnsi" w:hAnsiTheme="minorHAnsi"/>
              </w:rPr>
            </w:pPr>
            <w:r w:rsidRPr="00C7550F">
              <w:rPr>
                <w:rFonts w:asciiTheme="minorHAnsi" w:hAnsiTheme="minorHAnsi"/>
              </w:rPr>
              <w:t xml:space="preserve">and “Load” are not permitted to be </w:t>
            </w:r>
            <w:proofErr w:type="gramStart"/>
            <w:r w:rsidRPr="00C7550F">
              <w:rPr>
                <w:rFonts w:asciiTheme="minorHAnsi" w:hAnsiTheme="minorHAnsi"/>
              </w:rPr>
              <w:t>back-fed</w:t>
            </w:r>
            <w:proofErr w:type="gramEnd"/>
            <w:r w:rsidRPr="00C7550F">
              <w:rPr>
                <w:rFonts w:asciiTheme="minorHAnsi" w:hAnsiTheme="minorHAnsi"/>
              </w:rPr>
              <w:t>, (NEC 710.15(E), 110.3(B), 705.12(</w:t>
            </w:r>
            <w:r w:rsidR="00D11EF1" w:rsidRPr="00C7550F">
              <w:rPr>
                <w:rFonts w:asciiTheme="minorHAnsi" w:hAnsiTheme="minorHAnsi"/>
              </w:rPr>
              <w:t>B</w:t>
            </w:r>
            <w:r w:rsidRPr="00C7550F">
              <w:rPr>
                <w:rFonts w:asciiTheme="minorHAnsi" w:hAnsiTheme="minorHAnsi"/>
              </w:rPr>
              <w:t>)(4))</w:t>
            </w:r>
          </w:p>
        </w:tc>
      </w:tr>
      <w:tr w:rsidR="00A429B0" w:rsidRPr="001F22F2" w14:paraId="21A30D3F" w14:textId="77777777" w:rsidTr="00D3198B">
        <w:trPr>
          <w:trHeight w:val="917"/>
        </w:trPr>
        <w:tc>
          <w:tcPr>
            <w:tcW w:w="986" w:type="dxa"/>
          </w:tcPr>
          <w:p w14:paraId="453520EF" w14:textId="77777777" w:rsidR="00A429B0" w:rsidRPr="001F22F2" w:rsidRDefault="00A429B0">
            <w:pPr>
              <w:pStyle w:val="TableParagraph"/>
              <w:spacing w:before="0"/>
              <w:ind w:left="0"/>
              <w:rPr>
                <w:rFonts w:asciiTheme="minorHAnsi" w:hAnsiTheme="minorHAnsi"/>
              </w:rPr>
            </w:pPr>
          </w:p>
        </w:tc>
        <w:tc>
          <w:tcPr>
            <w:tcW w:w="9808" w:type="dxa"/>
          </w:tcPr>
          <w:p w14:paraId="223D383C" w14:textId="77777777" w:rsidR="00A429B0" w:rsidRPr="00C7550F" w:rsidRDefault="00797687" w:rsidP="00C7550F">
            <w:pPr>
              <w:rPr>
                <w:rFonts w:asciiTheme="minorHAnsi" w:hAnsiTheme="minorHAnsi"/>
              </w:rPr>
            </w:pPr>
            <w:r w:rsidRPr="00C7550F">
              <w:rPr>
                <w:rFonts w:asciiTheme="minorHAnsi" w:hAnsiTheme="minorHAnsi"/>
              </w:rPr>
              <w:t xml:space="preserve">Single 120-volt inverter in ac coupled systems should not supply back-up loads containing multiwire branch circuit or any </w:t>
            </w:r>
            <w:proofErr w:type="gramStart"/>
            <w:r w:rsidRPr="00C7550F">
              <w:rPr>
                <w:rFonts w:asciiTheme="minorHAnsi" w:hAnsiTheme="minorHAnsi"/>
              </w:rPr>
              <w:t>240 volt</w:t>
            </w:r>
            <w:proofErr w:type="gramEnd"/>
            <w:r w:rsidRPr="00C7550F">
              <w:rPr>
                <w:rFonts w:asciiTheme="minorHAnsi" w:hAnsiTheme="minorHAnsi"/>
              </w:rPr>
              <w:t xml:space="preserve"> outlets. Such action can overload the common neutral in such a wiring method, (NEC 710.15(C))</w:t>
            </w:r>
          </w:p>
        </w:tc>
      </w:tr>
    </w:tbl>
    <w:p w14:paraId="073FED40" w14:textId="77777777" w:rsidR="00A429B0" w:rsidRPr="001F22F2" w:rsidRDefault="00A429B0">
      <w:pPr>
        <w:pStyle w:val="BodyText"/>
        <w:rPr>
          <w:rFonts w:asciiTheme="minorHAnsi" w:hAnsiTheme="minorHAnsi"/>
          <w:b/>
        </w:rPr>
      </w:pPr>
    </w:p>
    <w:p w14:paraId="3A7D6F0A" w14:textId="77777777" w:rsidR="00A429B0" w:rsidRPr="001F22F2" w:rsidRDefault="00A429B0">
      <w:pPr>
        <w:pStyle w:val="BodyText"/>
        <w:spacing w:before="7"/>
        <w:rPr>
          <w:rFonts w:asciiTheme="minorHAnsi" w:hAnsiTheme="minorHAnsi"/>
          <w:b/>
        </w:rPr>
      </w:pPr>
    </w:p>
    <w:tbl>
      <w:tblPr>
        <w:tblStyle w:val="TableGrid"/>
        <w:tblW w:w="0" w:type="auto"/>
        <w:tblLayout w:type="fixed"/>
        <w:tblLook w:val="01E0" w:firstRow="1" w:lastRow="1" w:firstColumn="1" w:lastColumn="1" w:noHBand="0" w:noVBand="0"/>
      </w:tblPr>
      <w:tblGrid>
        <w:gridCol w:w="986"/>
        <w:gridCol w:w="9808"/>
      </w:tblGrid>
      <w:tr w:rsidR="00A429B0" w:rsidRPr="001F22F2" w14:paraId="6A36A167" w14:textId="77777777" w:rsidTr="00D3198B">
        <w:trPr>
          <w:trHeight w:val="268"/>
        </w:trPr>
        <w:tc>
          <w:tcPr>
            <w:tcW w:w="10794" w:type="dxa"/>
            <w:gridSpan w:val="2"/>
          </w:tcPr>
          <w:p w14:paraId="7919B4B6"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t>Monitoring and Charge Control</w:t>
            </w:r>
          </w:p>
        </w:tc>
      </w:tr>
      <w:tr w:rsidR="00A429B0" w:rsidRPr="001F22F2" w14:paraId="63F83CBB" w14:textId="77777777" w:rsidTr="00D3198B">
        <w:trPr>
          <w:trHeight w:val="537"/>
        </w:trPr>
        <w:tc>
          <w:tcPr>
            <w:tcW w:w="986" w:type="dxa"/>
          </w:tcPr>
          <w:p w14:paraId="4CDACCDA" w14:textId="77777777" w:rsidR="00A429B0" w:rsidRPr="001F22F2" w:rsidRDefault="00A429B0">
            <w:pPr>
              <w:pStyle w:val="TableParagraph"/>
              <w:spacing w:before="0"/>
              <w:ind w:left="0"/>
              <w:rPr>
                <w:rFonts w:asciiTheme="minorHAnsi" w:hAnsiTheme="minorHAnsi"/>
              </w:rPr>
            </w:pPr>
          </w:p>
        </w:tc>
        <w:tc>
          <w:tcPr>
            <w:tcW w:w="9808" w:type="dxa"/>
          </w:tcPr>
          <w:p w14:paraId="00F19846" w14:textId="77777777" w:rsidR="00A429B0" w:rsidRPr="00C7550F" w:rsidRDefault="00797687" w:rsidP="00C7550F">
            <w:pPr>
              <w:rPr>
                <w:rFonts w:asciiTheme="minorHAnsi" w:hAnsiTheme="minorHAnsi"/>
              </w:rPr>
            </w:pPr>
            <w:r w:rsidRPr="00C7550F">
              <w:rPr>
                <w:rFonts w:asciiTheme="minorHAnsi" w:hAnsiTheme="minorHAnsi"/>
              </w:rPr>
              <w:t>Charge controllers shall be compatible with the battery or ESS manufacturer's electrical ratings and</w:t>
            </w:r>
          </w:p>
          <w:p w14:paraId="4F6B5712" w14:textId="3CE2F7E5" w:rsidR="00A429B0" w:rsidRPr="00C7550F" w:rsidRDefault="00797687" w:rsidP="00C7550F">
            <w:pPr>
              <w:rPr>
                <w:rFonts w:asciiTheme="minorHAnsi" w:hAnsiTheme="minorHAnsi"/>
              </w:rPr>
            </w:pPr>
            <w:r w:rsidRPr="00C7550F">
              <w:rPr>
                <w:rFonts w:asciiTheme="minorHAnsi" w:hAnsiTheme="minorHAnsi"/>
              </w:rPr>
              <w:t xml:space="preserve">charging </w:t>
            </w:r>
            <w:proofErr w:type="gramStart"/>
            <w:r w:rsidRPr="00C7550F">
              <w:rPr>
                <w:rFonts w:asciiTheme="minorHAnsi" w:hAnsiTheme="minorHAnsi"/>
              </w:rPr>
              <w:t xml:space="preserve">specifications, </w:t>
            </w:r>
            <w:r w:rsidR="00E03DDF" w:rsidRPr="00C7550F">
              <w:rPr>
                <w:rFonts w:asciiTheme="minorHAnsi" w:hAnsiTheme="minorHAnsi"/>
              </w:rPr>
              <w:t xml:space="preserve"> (</w:t>
            </w:r>
            <w:proofErr w:type="gramEnd"/>
            <w:r w:rsidR="00E03DDF" w:rsidRPr="00C7550F">
              <w:rPr>
                <w:rFonts w:asciiTheme="minorHAnsi" w:hAnsiTheme="minorHAnsi"/>
              </w:rPr>
              <w:t>NEC 110.3(B))</w:t>
            </w:r>
          </w:p>
        </w:tc>
      </w:tr>
      <w:tr w:rsidR="00A429B0" w:rsidRPr="001F22F2" w14:paraId="3DC75B8E" w14:textId="77777777" w:rsidTr="00D3198B">
        <w:trPr>
          <w:trHeight w:val="268"/>
        </w:trPr>
        <w:tc>
          <w:tcPr>
            <w:tcW w:w="986" w:type="dxa"/>
          </w:tcPr>
          <w:p w14:paraId="453ECC84" w14:textId="77777777" w:rsidR="00A429B0" w:rsidRPr="001F22F2" w:rsidRDefault="00A429B0">
            <w:pPr>
              <w:pStyle w:val="TableParagraph"/>
              <w:spacing w:before="0"/>
              <w:ind w:left="0"/>
              <w:rPr>
                <w:rFonts w:asciiTheme="minorHAnsi" w:hAnsiTheme="minorHAnsi"/>
              </w:rPr>
            </w:pPr>
          </w:p>
        </w:tc>
        <w:tc>
          <w:tcPr>
            <w:tcW w:w="9808" w:type="dxa"/>
          </w:tcPr>
          <w:p w14:paraId="1538C417" w14:textId="77777777" w:rsidR="00A429B0" w:rsidRPr="00C7550F" w:rsidRDefault="00797687" w:rsidP="00C7550F">
            <w:pPr>
              <w:rPr>
                <w:rFonts w:asciiTheme="minorHAnsi" w:hAnsiTheme="minorHAnsi"/>
              </w:rPr>
            </w:pPr>
            <w:r w:rsidRPr="00C7550F">
              <w:rPr>
                <w:rFonts w:asciiTheme="minorHAnsi" w:hAnsiTheme="minorHAnsi"/>
              </w:rPr>
              <w:t>Charge controller is properly installed to prevent overcharging or damaging batteries, (NEC 690.72, 706.23)</w:t>
            </w:r>
          </w:p>
        </w:tc>
      </w:tr>
      <w:tr w:rsidR="00A429B0" w:rsidRPr="001F22F2" w14:paraId="2A32245D" w14:textId="77777777" w:rsidTr="00D3198B">
        <w:trPr>
          <w:trHeight w:val="806"/>
        </w:trPr>
        <w:tc>
          <w:tcPr>
            <w:tcW w:w="986" w:type="dxa"/>
          </w:tcPr>
          <w:p w14:paraId="6741BBCF" w14:textId="77777777" w:rsidR="00A429B0" w:rsidRPr="001F22F2" w:rsidRDefault="00A429B0">
            <w:pPr>
              <w:pStyle w:val="TableParagraph"/>
              <w:spacing w:before="0"/>
              <w:ind w:left="0"/>
              <w:rPr>
                <w:rFonts w:asciiTheme="minorHAnsi" w:hAnsiTheme="minorHAnsi"/>
              </w:rPr>
            </w:pPr>
          </w:p>
        </w:tc>
        <w:tc>
          <w:tcPr>
            <w:tcW w:w="9808" w:type="dxa"/>
          </w:tcPr>
          <w:p w14:paraId="5FCEE437" w14:textId="77777777" w:rsidR="00A429B0" w:rsidRPr="00C7550F" w:rsidRDefault="00797687" w:rsidP="00C7550F">
            <w:pPr>
              <w:rPr>
                <w:rFonts w:asciiTheme="minorHAnsi" w:hAnsiTheme="minorHAnsi"/>
              </w:rPr>
            </w:pPr>
            <w:r w:rsidRPr="00C7550F">
              <w:rPr>
                <w:rFonts w:asciiTheme="minorHAnsi" w:hAnsiTheme="minorHAnsi"/>
              </w:rPr>
              <w:t>Diversionary charge controllers with utility-interactive and multimode inverters shall have a second independent controller to prevent battery overcharge in the event the diversion loads are unavailable, or</w:t>
            </w:r>
          </w:p>
          <w:p w14:paraId="1F160107" w14:textId="69A7CFAE" w:rsidR="004D6420" w:rsidRPr="00C7550F" w:rsidRDefault="00797687" w:rsidP="00C7550F">
            <w:pPr>
              <w:rPr>
                <w:rFonts w:asciiTheme="minorHAnsi" w:hAnsiTheme="minorHAnsi"/>
              </w:rPr>
            </w:pPr>
            <w:r w:rsidRPr="00C7550F">
              <w:rPr>
                <w:rFonts w:asciiTheme="minorHAnsi" w:hAnsiTheme="minorHAnsi"/>
              </w:rPr>
              <w:t>the diversion charge controller fails, (NEC 706.23(B)(3)(b))</w:t>
            </w:r>
          </w:p>
        </w:tc>
      </w:tr>
    </w:tbl>
    <w:p w14:paraId="60A9CDD0" w14:textId="77777777" w:rsidR="00A429B0" w:rsidRPr="001F22F2" w:rsidRDefault="00A429B0">
      <w:pPr>
        <w:spacing w:line="246" w:lineRule="exact"/>
        <w:rPr>
          <w:rFonts w:asciiTheme="minorHAnsi" w:hAnsiTheme="minorHAnsi"/>
        </w:rPr>
        <w:sectPr w:rsidR="00A429B0" w:rsidRPr="001F22F2" w:rsidSect="00D3198B">
          <w:pgSz w:w="12240" w:h="15840"/>
          <w:pgMar w:top="1080" w:right="720" w:bottom="720" w:left="720" w:header="720" w:footer="720" w:gutter="0"/>
          <w:cols w:space="720"/>
        </w:sectPr>
      </w:pPr>
    </w:p>
    <w:tbl>
      <w:tblPr>
        <w:tblStyle w:val="TableGrid"/>
        <w:tblW w:w="10794" w:type="dxa"/>
        <w:tblLayout w:type="fixed"/>
        <w:tblLook w:val="01E0" w:firstRow="1" w:lastRow="1" w:firstColumn="1" w:lastColumn="1" w:noHBand="0" w:noVBand="0"/>
      </w:tblPr>
      <w:tblGrid>
        <w:gridCol w:w="986"/>
        <w:gridCol w:w="9808"/>
      </w:tblGrid>
      <w:tr w:rsidR="00A429B0" w:rsidRPr="001F22F2" w14:paraId="3A296892" w14:textId="77777777" w:rsidTr="00DE3525">
        <w:trPr>
          <w:trHeight w:val="268"/>
        </w:trPr>
        <w:tc>
          <w:tcPr>
            <w:tcW w:w="10794" w:type="dxa"/>
            <w:gridSpan w:val="2"/>
          </w:tcPr>
          <w:p w14:paraId="6D499015"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lastRenderedPageBreak/>
              <w:t>Disconnecting Means</w:t>
            </w:r>
          </w:p>
        </w:tc>
      </w:tr>
      <w:tr w:rsidR="00A429B0" w:rsidRPr="001F22F2" w14:paraId="05D2D401" w14:textId="77777777" w:rsidTr="00DE3525">
        <w:trPr>
          <w:trHeight w:val="537"/>
        </w:trPr>
        <w:tc>
          <w:tcPr>
            <w:tcW w:w="986" w:type="dxa"/>
          </w:tcPr>
          <w:p w14:paraId="5919ECC2" w14:textId="77777777" w:rsidR="00A429B0" w:rsidRPr="001F22F2" w:rsidRDefault="00A429B0">
            <w:pPr>
              <w:pStyle w:val="TableParagraph"/>
              <w:spacing w:before="0"/>
              <w:ind w:left="0"/>
              <w:rPr>
                <w:rFonts w:asciiTheme="minorHAnsi" w:hAnsiTheme="minorHAnsi"/>
              </w:rPr>
            </w:pPr>
          </w:p>
        </w:tc>
        <w:tc>
          <w:tcPr>
            <w:tcW w:w="9808" w:type="dxa"/>
          </w:tcPr>
          <w:p w14:paraId="529CC35D" w14:textId="78FEEAAB" w:rsidR="00A429B0" w:rsidRPr="00C7550F" w:rsidRDefault="00797687" w:rsidP="00C7550F">
            <w:pPr>
              <w:rPr>
                <w:rFonts w:asciiTheme="minorHAnsi" w:hAnsiTheme="minorHAnsi"/>
              </w:rPr>
            </w:pPr>
            <w:r w:rsidRPr="00C7550F">
              <w:rPr>
                <w:rFonts w:asciiTheme="minorHAnsi" w:hAnsiTheme="minorHAnsi"/>
              </w:rPr>
              <w:t>A disconnecting means is provided for all ungrounded conductors derived from a dc</w:t>
            </w:r>
            <w:r w:rsidR="00D11EF1" w:rsidRPr="00C7550F">
              <w:rPr>
                <w:rFonts w:asciiTheme="minorHAnsi" w:hAnsiTheme="minorHAnsi"/>
              </w:rPr>
              <w:t xml:space="preserve"> </w:t>
            </w:r>
            <w:r w:rsidRPr="00C7550F">
              <w:rPr>
                <w:rFonts w:asciiTheme="minorHAnsi" w:hAnsiTheme="minorHAnsi"/>
              </w:rPr>
              <w:t>stationary battery</w:t>
            </w:r>
          </w:p>
          <w:p w14:paraId="62FFAE69" w14:textId="667D8FAA" w:rsidR="00A429B0" w:rsidRPr="00C7550F" w:rsidRDefault="00797687" w:rsidP="00C7550F">
            <w:pPr>
              <w:rPr>
                <w:rFonts w:asciiTheme="minorHAnsi" w:hAnsiTheme="minorHAnsi"/>
              </w:rPr>
            </w:pPr>
            <w:r w:rsidRPr="00C7550F">
              <w:rPr>
                <w:rFonts w:asciiTheme="minorHAnsi" w:hAnsiTheme="minorHAnsi"/>
              </w:rPr>
              <w:t xml:space="preserve">system with a voltage of over 60 volts dc, (NEC </w:t>
            </w:r>
            <w:r w:rsidR="0084479A">
              <w:rPr>
                <w:rFonts w:asciiTheme="minorHAnsi" w:hAnsiTheme="minorHAnsi"/>
              </w:rPr>
              <w:t>480</w:t>
            </w:r>
            <w:r w:rsidRPr="00C7550F">
              <w:rPr>
                <w:rFonts w:asciiTheme="minorHAnsi" w:hAnsiTheme="minorHAnsi"/>
              </w:rPr>
              <w:t>.7)</w:t>
            </w:r>
          </w:p>
        </w:tc>
      </w:tr>
      <w:tr w:rsidR="00A429B0" w:rsidRPr="001F22F2" w14:paraId="14393FEB" w14:textId="77777777" w:rsidTr="00DE3525">
        <w:trPr>
          <w:trHeight w:val="537"/>
        </w:trPr>
        <w:tc>
          <w:tcPr>
            <w:tcW w:w="986" w:type="dxa"/>
          </w:tcPr>
          <w:p w14:paraId="041BE663" w14:textId="77777777" w:rsidR="00A429B0" w:rsidRPr="001F22F2" w:rsidRDefault="00A429B0">
            <w:pPr>
              <w:pStyle w:val="TableParagraph"/>
              <w:spacing w:before="0"/>
              <w:ind w:left="0"/>
              <w:rPr>
                <w:rFonts w:asciiTheme="minorHAnsi" w:hAnsiTheme="minorHAnsi"/>
              </w:rPr>
            </w:pPr>
          </w:p>
        </w:tc>
        <w:tc>
          <w:tcPr>
            <w:tcW w:w="9808" w:type="dxa"/>
          </w:tcPr>
          <w:p w14:paraId="74419D37" w14:textId="097AF45B" w:rsidR="00A429B0" w:rsidRPr="00C7550F" w:rsidRDefault="00797687" w:rsidP="0084479A">
            <w:pPr>
              <w:rPr>
                <w:rFonts w:asciiTheme="minorHAnsi" w:hAnsiTheme="minorHAnsi"/>
              </w:rPr>
            </w:pPr>
            <w:r w:rsidRPr="00C7550F">
              <w:rPr>
                <w:rFonts w:asciiTheme="minorHAnsi" w:hAnsiTheme="minorHAnsi"/>
              </w:rPr>
              <w:t>A disconnecting means shall be provided for all ungrounded conductors derived from an ESS. A</w:t>
            </w:r>
            <w:r w:rsidR="00212F67">
              <w:rPr>
                <w:rFonts w:asciiTheme="minorHAnsi" w:hAnsiTheme="minorHAnsi"/>
              </w:rPr>
              <w:t xml:space="preserve"> </w:t>
            </w:r>
            <w:r w:rsidRPr="00C7550F">
              <w:rPr>
                <w:rFonts w:asciiTheme="minorHAnsi" w:hAnsiTheme="minorHAnsi"/>
              </w:rPr>
              <w:t>disconnecting means shall be readily accessible and located within sight of the ESS, (NEC 706.</w:t>
            </w:r>
            <w:r w:rsidR="00212F67">
              <w:rPr>
                <w:rFonts w:asciiTheme="minorHAnsi" w:hAnsiTheme="minorHAnsi"/>
              </w:rPr>
              <w:t>7(A)</w:t>
            </w:r>
            <w:r w:rsidR="000C3AE9">
              <w:rPr>
                <w:rFonts w:asciiTheme="minorHAnsi" w:hAnsiTheme="minorHAnsi"/>
              </w:rPr>
              <w:t>)</w:t>
            </w:r>
          </w:p>
        </w:tc>
      </w:tr>
      <w:tr w:rsidR="00A429B0" w:rsidRPr="001F22F2" w14:paraId="17C81A6D" w14:textId="77777777" w:rsidTr="00DE3525">
        <w:trPr>
          <w:trHeight w:val="1074"/>
        </w:trPr>
        <w:tc>
          <w:tcPr>
            <w:tcW w:w="986" w:type="dxa"/>
          </w:tcPr>
          <w:p w14:paraId="7355D470" w14:textId="77777777" w:rsidR="00A429B0" w:rsidRPr="001F22F2" w:rsidRDefault="00A429B0">
            <w:pPr>
              <w:pStyle w:val="TableParagraph"/>
              <w:spacing w:before="0"/>
              <w:ind w:left="0"/>
              <w:rPr>
                <w:rFonts w:asciiTheme="minorHAnsi" w:hAnsiTheme="minorHAnsi"/>
              </w:rPr>
            </w:pPr>
          </w:p>
        </w:tc>
        <w:tc>
          <w:tcPr>
            <w:tcW w:w="9808" w:type="dxa"/>
          </w:tcPr>
          <w:p w14:paraId="3EC3C420" w14:textId="77777777" w:rsidR="00A429B0" w:rsidRPr="00C7550F" w:rsidRDefault="00797687" w:rsidP="00C7550F">
            <w:pPr>
              <w:rPr>
                <w:rFonts w:asciiTheme="minorHAnsi" w:hAnsiTheme="minorHAnsi"/>
              </w:rPr>
            </w:pPr>
            <w:r w:rsidRPr="00C7550F">
              <w:rPr>
                <w:rFonts w:asciiTheme="minorHAnsi" w:hAnsiTheme="minorHAnsi"/>
              </w:rPr>
              <w:t>Battery circuits subject to field servicing where exceeding 240 volts nominal between conductors or to ground, shall have provisions to disconnect the series-connected strings into segments not exceeding 240 volts nominal for maintenance by qualified persons. Non-load-break bolted, or plug-in disconnects shall be</w:t>
            </w:r>
          </w:p>
          <w:p w14:paraId="7747C7C7" w14:textId="77777777" w:rsidR="00A429B0" w:rsidRPr="00C7550F" w:rsidRDefault="00797687" w:rsidP="00C7550F">
            <w:pPr>
              <w:rPr>
                <w:rFonts w:asciiTheme="minorHAnsi" w:hAnsiTheme="minorHAnsi"/>
              </w:rPr>
            </w:pPr>
            <w:r w:rsidRPr="00C7550F">
              <w:rPr>
                <w:rFonts w:asciiTheme="minorHAnsi" w:hAnsiTheme="minorHAnsi"/>
              </w:rPr>
              <w:t>permitted, (NEC 706.30(B))</w:t>
            </w:r>
          </w:p>
        </w:tc>
      </w:tr>
      <w:tr w:rsidR="00A429B0" w:rsidRPr="001F22F2" w14:paraId="5CCE5E66" w14:textId="77777777" w:rsidTr="00DE3525">
        <w:trPr>
          <w:trHeight w:val="1341"/>
        </w:trPr>
        <w:tc>
          <w:tcPr>
            <w:tcW w:w="986" w:type="dxa"/>
          </w:tcPr>
          <w:p w14:paraId="72AA8842" w14:textId="77777777" w:rsidR="00A429B0" w:rsidRPr="001F22F2" w:rsidRDefault="00A429B0">
            <w:pPr>
              <w:pStyle w:val="TableParagraph"/>
              <w:spacing w:before="0"/>
              <w:ind w:left="0"/>
              <w:rPr>
                <w:rFonts w:asciiTheme="minorHAnsi" w:hAnsiTheme="minorHAnsi"/>
              </w:rPr>
            </w:pPr>
          </w:p>
        </w:tc>
        <w:tc>
          <w:tcPr>
            <w:tcW w:w="9808" w:type="dxa"/>
          </w:tcPr>
          <w:p w14:paraId="133A42D1" w14:textId="77777777" w:rsidR="00A429B0" w:rsidRPr="00C7550F" w:rsidRDefault="00797687" w:rsidP="00C7550F">
            <w:pPr>
              <w:rPr>
                <w:rFonts w:asciiTheme="minorHAnsi" w:hAnsiTheme="minorHAnsi"/>
              </w:rPr>
            </w:pPr>
            <w:r w:rsidRPr="00C7550F">
              <w:rPr>
                <w:rFonts w:asciiTheme="minorHAnsi" w:hAnsiTheme="minorHAnsi"/>
              </w:rPr>
              <w:t>ESS exceeding 100 volts between conductors or to ground shall have a disconnecting means, accessible only to qualified persons, that disconnects ungrounded and grounded circuit conductor(s) in the electrical storage system for maintenance. This disconnecting means shall not disconnect the grounded circuit conductor(s) for the remainder of any other electrical system. A non-load-break-rated switch shall be</w:t>
            </w:r>
          </w:p>
          <w:p w14:paraId="3D2202B3" w14:textId="77777777" w:rsidR="00A429B0" w:rsidRPr="00C7550F" w:rsidRDefault="00797687" w:rsidP="00C7550F">
            <w:pPr>
              <w:rPr>
                <w:rFonts w:asciiTheme="minorHAnsi" w:hAnsiTheme="minorHAnsi"/>
              </w:rPr>
            </w:pPr>
            <w:r w:rsidRPr="00C7550F">
              <w:rPr>
                <w:rFonts w:asciiTheme="minorHAnsi" w:hAnsiTheme="minorHAnsi"/>
              </w:rPr>
              <w:t>permitted to be used as a disconnecting means, (NEC 706.30(C))</w:t>
            </w:r>
          </w:p>
        </w:tc>
      </w:tr>
      <w:tr w:rsidR="00A429B0" w:rsidRPr="001F22F2" w14:paraId="5D722E41" w14:textId="77777777" w:rsidTr="00DE3525">
        <w:trPr>
          <w:trHeight w:val="805"/>
        </w:trPr>
        <w:tc>
          <w:tcPr>
            <w:tcW w:w="986" w:type="dxa"/>
          </w:tcPr>
          <w:p w14:paraId="740852EE" w14:textId="77777777" w:rsidR="00A429B0" w:rsidRPr="001F22F2" w:rsidRDefault="00A429B0">
            <w:pPr>
              <w:pStyle w:val="TableParagraph"/>
              <w:spacing w:before="0"/>
              <w:ind w:left="0"/>
              <w:rPr>
                <w:rFonts w:asciiTheme="minorHAnsi" w:hAnsiTheme="minorHAnsi"/>
              </w:rPr>
            </w:pPr>
          </w:p>
        </w:tc>
        <w:tc>
          <w:tcPr>
            <w:tcW w:w="9808" w:type="dxa"/>
          </w:tcPr>
          <w:p w14:paraId="7E627988" w14:textId="77777777" w:rsidR="00A429B0" w:rsidRPr="00C7550F" w:rsidRDefault="00797687" w:rsidP="00C7550F">
            <w:pPr>
              <w:rPr>
                <w:rFonts w:asciiTheme="minorHAnsi" w:hAnsiTheme="minorHAnsi"/>
              </w:rPr>
            </w:pPr>
            <w:r w:rsidRPr="00C7550F">
              <w:rPr>
                <w:rFonts w:asciiTheme="minorHAnsi" w:hAnsiTheme="minorHAnsi"/>
              </w:rPr>
              <w:t>Where battery energy storage system input and output terminals are more than 5ft from the connected equipment, or where these terminals pass through a wall or partition must comply with all of NEC 706.7(E),</w:t>
            </w:r>
          </w:p>
          <w:p w14:paraId="22DD4707" w14:textId="77777777" w:rsidR="006811DF" w:rsidRPr="00C7550F" w:rsidRDefault="006811DF" w:rsidP="00C7550F">
            <w:pPr>
              <w:pStyle w:val="ListParagraph"/>
              <w:numPr>
                <w:ilvl w:val="0"/>
                <w:numId w:val="8"/>
              </w:numPr>
              <w:rPr>
                <w:rFonts w:asciiTheme="minorHAnsi" w:hAnsiTheme="minorHAnsi"/>
              </w:rPr>
            </w:pPr>
            <w:r w:rsidRPr="00C7550F">
              <w:rPr>
                <w:rFonts w:asciiTheme="minorHAnsi" w:hAnsiTheme="minorHAnsi"/>
              </w:rPr>
              <w:t>A disconnecting means shall be provided at the energy storage system end of the circuit. Fused disconnecting means or circuit breakers shall be permitted to be used.</w:t>
            </w:r>
          </w:p>
          <w:p w14:paraId="1DFA8B52" w14:textId="77777777" w:rsidR="006811DF" w:rsidRPr="00C7550F" w:rsidRDefault="006811DF" w:rsidP="00C7550F">
            <w:pPr>
              <w:pStyle w:val="ListParagraph"/>
              <w:numPr>
                <w:ilvl w:val="0"/>
                <w:numId w:val="8"/>
              </w:numPr>
              <w:rPr>
                <w:rFonts w:asciiTheme="minorHAnsi" w:hAnsiTheme="minorHAnsi"/>
              </w:rPr>
            </w:pPr>
            <w:r w:rsidRPr="00C7550F">
              <w:rPr>
                <w:rFonts w:asciiTheme="minorHAnsi" w:hAnsiTheme="minorHAnsi"/>
              </w:rPr>
              <w:t>A second disconnecting means located at the connected equipment shall be installed where the disconnecting means required by 706.7(E)(1) is not within sight of the connected equipment.</w:t>
            </w:r>
          </w:p>
          <w:p w14:paraId="2FBF8FF9" w14:textId="77777777" w:rsidR="006811DF" w:rsidRPr="00C7550F" w:rsidRDefault="006811DF" w:rsidP="00C7550F">
            <w:pPr>
              <w:pStyle w:val="ListParagraph"/>
              <w:numPr>
                <w:ilvl w:val="0"/>
                <w:numId w:val="8"/>
              </w:numPr>
              <w:rPr>
                <w:rFonts w:asciiTheme="minorHAnsi" w:hAnsiTheme="minorHAnsi"/>
              </w:rPr>
            </w:pPr>
            <w:r w:rsidRPr="00C7550F">
              <w:rPr>
                <w:rFonts w:asciiTheme="minorHAnsi" w:hAnsiTheme="minorHAnsi"/>
              </w:rPr>
              <w:t>Where fused disconnecting means are used, the line terminals of the disconnecting means shall be connected toward the energy storage system terminals.</w:t>
            </w:r>
          </w:p>
          <w:p w14:paraId="63030C5C" w14:textId="77777777" w:rsidR="006811DF" w:rsidRPr="00C7550F" w:rsidRDefault="006811DF" w:rsidP="00C7550F">
            <w:pPr>
              <w:pStyle w:val="ListParagraph"/>
              <w:numPr>
                <w:ilvl w:val="0"/>
                <w:numId w:val="8"/>
              </w:numPr>
              <w:rPr>
                <w:rFonts w:asciiTheme="minorHAnsi" w:hAnsiTheme="minorHAnsi"/>
              </w:rPr>
            </w:pPr>
            <w:r w:rsidRPr="00C7550F">
              <w:rPr>
                <w:rFonts w:asciiTheme="minorHAnsi" w:hAnsiTheme="minorHAnsi"/>
              </w:rPr>
              <w:t>Disconnecting means shall be permitted to be installed in energy storage system enclosures where explosive atmospheres can exist if listed for hazardous locations.</w:t>
            </w:r>
          </w:p>
          <w:p w14:paraId="06FE1B83" w14:textId="77777777" w:rsidR="00A429B0" w:rsidRPr="00C7550F" w:rsidRDefault="006811DF" w:rsidP="00C7550F">
            <w:pPr>
              <w:pStyle w:val="ListParagraph"/>
              <w:numPr>
                <w:ilvl w:val="0"/>
                <w:numId w:val="8"/>
              </w:numPr>
              <w:rPr>
                <w:rFonts w:asciiTheme="minorHAnsi" w:hAnsiTheme="minorHAnsi"/>
              </w:rPr>
            </w:pPr>
            <w:r w:rsidRPr="00C7550F">
              <w:rPr>
                <w:rFonts w:asciiTheme="minorHAnsi" w:hAnsiTheme="minorHAnsi"/>
              </w:rPr>
              <w:t xml:space="preserve">Where the disconnecting means in (1) is not within sight of the disconnecting means in (2), placards or directories shall be installed at the locations of all disconnecting means indicating the location of all other disconnecting means. </w:t>
            </w:r>
            <w:r w:rsidR="00797687" w:rsidRPr="00C7550F">
              <w:rPr>
                <w:rFonts w:asciiTheme="minorHAnsi" w:hAnsiTheme="minorHAnsi"/>
              </w:rPr>
              <w:t>(NEC 706.7(E))</w:t>
            </w:r>
          </w:p>
        </w:tc>
      </w:tr>
      <w:tr w:rsidR="00A429B0" w:rsidRPr="001F22F2" w14:paraId="60B61A1E" w14:textId="77777777" w:rsidTr="00DE3525">
        <w:trPr>
          <w:trHeight w:val="1074"/>
        </w:trPr>
        <w:tc>
          <w:tcPr>
            <w:tcW w:w="986" w:type="dxa"/>
          </w:tcPr>
          <w:p w14:paraId="7F8D472F" w14:textId="77777777" w:rsidR="00A429B0" w:rsidRPr="001F22F2" w:rsidRDefault="00A429B0">
            <w:pPr>
              <w:pStyle w:val="TableParagraph"/>
              <w:spacing w:before="0"/>
              <w:ind w:left="0"/>
              <w:rPr>
                <w:rFonts w:asciiTheme="minorHAnsi" w:hAnsiTheme="minorHAnsi"/>
              </w:rPr>
            </w:pPr>
          </w:p>
        </w:tc>
        <w:tc>
          <w:tcPr>
            <w:tcW w:w="9808" w:type="dxa"/>
          </w:tcPr>
          <w:p w14:paraId="69F0DE11" w14:textId="77777777" w:rsidR="00A429B0" w:rsidRPr="00C7550F" w:rsidRDefault="00797687" w:rsidP="00C7550F">
            <w:pPr>
              <w:rPr>
                <w:rFonts w:asciiTheme="minorHAnsi" w:hAnsiTheme="minorHAnsi"/>
              </w:rPr>
            </w:pPr>
            <w:r w:rsidRPr="00C7550F">
              <w:rPr>
                <w:rFonts w:asciiTheme="minorHAnsi" w:hAnsiTheme="minorHAnsi"/>
              </w:rPr>
              <w:t>Where a disconnecting means, located in accordance with NEC 480.7(A)</w:t>
            </w:r>
            <w:r w:rsidR="006811DF" w:rsidRPr="00C7550F">
              <w:rPr>
                <w:rFonts w:asciiTheme="minorHAnsi" w:hAnsiTheme="minorHAnsi"/>
              </w:rPr>
              <w:t xml:space="preserve"> (out of sight of the battery storage system)</w:t>
            </w:r>
            <w:r w:rsidRPr="00C7550F">
              <w:rPr>
                <w:rFonts w:asciiTheme="minorHAnsi" w:hAnsiTheme="minorHAnsi"/>
              </w:rPr>
              <w:t>, is provided with remote controls to activate the disconnecting means and the controls for the disconnecting means are not located within sight of the stationary battery system, the disconnecting means shall be capable of being locked in the</w:t>
            </w:r>
          </w:p>
          <w:p w14:paraId="58842617" w14:textId="77777777" w:rsidR="00A429B0" w:rsidRPr="00C7550F" w:rsidRDefault="00797687" w:rsidP="00C7550F">
            <w:pPr>
              <w:rPr>
                <w:rFonts w:asciiTheme="minorHAnsi" w:hAnsiTheme="minorHAnsi"/>
              </w:rPr>
            </w:pPr>
            <w:r w:rsidRPr="00C7550F">
              <w:rPr>
                <w:rFonts w:asciiTheme="minorHAnsi" w:hAnsiTheme="minorHAnsi"/>
              </w:rPr>
              <w:t>open position, (NEC 480.7(B))</w:t>
            </w:r>
          </w:p>
        </w:tc>
      </w:tr>
      <w:tr w:rsidR="00A429B0" w:rsidRPr="001F22F2" w14:paraId="4AE61495" w14:textId="77777777" w:rsidTr="00DE3525">
        <w:trPr>
          <w:trHeight w:val="503"/>
        </w:trPr>
        <w:tc>
          <w:tcPr>
            <w:tcW w:w="986" w:type="dxa"/>
          </w:tcPr>
          <w:p w14:paraId="6228F826" w14:textId="77777777" w:rsidR="00A429B0" w:rsidRPr="001F22F2" w:rsidRDefault="00A429B0">
            <w:pPr>
              <w:pStyle w:val="TableParagraph"/>
              <w:spacing w:before="0"/>
              <w:ind w:left="0"/>
              <w:rPr>
                <w:rFonts w:asciiTheme="minorHAnsi" w:hAnsiTheme="minorHAnsi"/>
              </w:rPr>
            </w:pPr>
          </w:p>
        </w:tc>
        <w:tc>
          <w:tcPr>
            <w:tcW w:w="9808" w:type="dxa"/>
          </w:tcPr>
          <w:p w14:paraId="0BC976FA" w14:textId="41EABA00" w:rsidR="00A429B0" w:rsidRPr="00C7550F" w:rsidRDefault="00797687" w:rsidP="001159CC">
            <w:pPr>
              <w:rPr>
                <w:rFonts w:asciiTheme="minorHAnsi" w:hAnsiTheme="minorHAnsi"/>
              </w:rPr>
            </w:pPr>
            <w:r w:rsidRPr="00C7550F">
              <w:rPr>
                <w:rFonts w:asciiTheme="minorHAnsi" w:hAnsiTheme="minorHAnsi"/>
              </w:rPr>
              <w:t xml:space="preserve">The equipment grounding lug shall be as specified by the </w:t>
            </w:r>
            <w:proofErr w:type="gramStart"/>
            <w:r w:rsidRPr="00C7550F">
              <w:rPr>
                <w:rFonts w:asciiTheme="minorHAnsi" w:hAnsiTheme="minorHAnsi"/>
              </w:rPr>
              <w:t>manufacturer</w:t>
            </w:r>
            <w:r w:rsidR="00612905" w:rsidRPr="00C7550F">
              <w:rPr>
                <w:rFonts w:asciiTheme="minorHAnsi" w:hAnsiTheme="minorHAnsi"/>
              </w:rPr>
              <w:t>,</w:t>
            </w:r>
            <w:r w:rsidRPr="00C7550F">
              <w:rPr>
                <w:rFonts w:asciiTheme="minorHAnsi" w:hAnsiTheme="minorHAnsi"/>
              </w:rPr>
              <w:t>(</w:t>
            </w:r>
            <w:proofErr w:type="gramEnd"/>
            <w:r w:rsidRPr="00C7550F">
              <w:rPr>
                <w:rFonts w:asciiTheme="minorHAnsi" w:hAnsiTheme="minorHAnsi"/>
              </w:rPr>
              <w:t>NEC 110.3(B))</w:t>
            </w:r>
          </w:p>
        </w:tc>
      </w:tr>
      <w:tr w:rsidR="00A429B0" w:rsidRPr="001F22F2" w14:paraId="62048121" w14:textId="77777777" w:rsidTr="00DE3525">
        <w:trPr>
          <w:trHeight w:val="537"/>
        </w:trPr>
        <w:tc>
          <w:tcPr>
            <w:tcW w:w="986" w:type="dxa"/>
          </w:tcPr>
          <w:p w14:paraId="77B08812" w14:textId="77777777" w:rsidR="00A429B0" w:rsidRPr="001F22F2" w:rsidRDefault="00A429B0">
            <w:pPr>
              <w:pStyle w:val="TableParagraph"/>
              <w:spacing w:before="0"/>
              <w:ind w:left="0"/>
              <w:rPr>
                <w:rFonts w:asciiTheme="minorHAnsi" w:hAnsiTheme="minorHAnsi"/>
              </w:rPr>
            </w:pPr>
          </w:p>
        </w:tc>
        <w:tc>
          <w:tcPr>
            <w:tcW w:w="9808" w:type="dxa"/>
          </w:tcPr>
          <w:p w14:paraId="4A61029D" w14:textId="77777777" w:rsidR="00A429B0" w:rsidRPr="00C7550F" w:rsidRDefault="00797687" w:rsidP="00C7550F">
            <w:pPr>
              <w:rPr>
                <w:rFonts w:asciiTheme="minorHAnsi" w:hAnsiTheme="minorHAnsi"/>
              </w:rPr>
            </w:pPr>
            <w:r w:rsidRPr="00C7550F">
              <w:rPr>
                <w:rFonts w:asciiTheme="minorHAnsi" w:hAnsiTheme="minorHAnsi"/>
              </w:rPr>
              <w:t>Remove any insulating finish, such as paint, under the equipment grounding lug prior to installation (NEC</w:t>
            </w:r>
          </w:p>
          <w:p w14:paraId="06AE266B" w14:textId="77777777" w:rsidR="00A429B0" w:rsidRPr="00C7550F" w:rsidRDefault="00797687" w:rsidP="00C7550F">
            <w:pPr>
              <w:rPr>
                <w:rFonts w:asciiTheme="minorHAnsi" w:hAnsiTheme="minorHAnsi"/>
              </w:rPr>
            </w:pPr>
            <w:r w:rsidRPr="00C7550F">
              <w:rPr>
                <w:rFonts w:asciiTheme="minorHAnsi" w:hAnsiTheme="minorHAnsi"/>
              </w:rPr>
              <w:t>250.8, 250.12)</w:t>
            </w:r>
          </w:p>
        </w:tc>
      </w:tr>
      <w:tr w:rsidR="00A429B0" w:rsidRPr="001F22F2" w14:paraId="1A0B95F9" w14:textId="77777777" w:rsidTr="00DE3525">
        <w:trPr>
          <w:trHeight w:val="537"/>
        </w:trPr>
        <w:tc>
          <w:tcPr>
            <w:tcW w:w="986" w:type="dxa"/>
          </w:tcPr>
          <w:p w14:paraId="61DAB9E9" w14:textId="77777777" w:rsidR="00A429B0" w:rsidRPr="001F22F2" w:rsidRDefault="00A429B0">
            <w:pPr>
              <w:pStyle w:val="TableParagraph"/>
              <w:spacing w:before="0"/>
              <w:ind w:left="0"/>
              <w:rPr>
                <w:rFonts w:asciiTheme="minorHAnsi" w:hAnsiTheme="minorHAnsi"/>
              </w:rPr>
            </w:pPr>
          </w:p>
        </w:tc>
        <w:tc>
          <w:tcPr>
            <w:tcW w:w="9808" w:type="dxa"/>
          </w:tcPr>
          <w:p w14:paraId="1F1B0134" w14:textId="77777777" w:rsidR="00A429B0" w:rsidRPr="00C7550F" w:rsidRDefault="00797687" w:rsidP="00C7550F">
            <w:pPr>
              <w:rPr>
                <w:rFonts w:asciiTheme="minorHAnsi" w:hAnsiTheme="minorHAnsi"/>
              </w:rPr>
            </w:pPr>
            <w:r w:rsidRPr="00C7550F">
              <w:rPr>
                <w:rFonts w:asciiTheme="minorHAnsi" w:hAnsiTheme="minorHAnsi"/>
              </w:rPr>
              <w:t xml:space="preserve">Maximum height requirements for disconnects applies to integrated disconnect (e.g., Tesla </w:t>
            </w:r>
            <w:proofErr w:type="spellStart"/>
            <w:r w:rsidRPr="00C7550F">
              <w:rPr>
                <w:rFonts w:asciiTheme="minorHAnsi" w:hAnsiTheme="minorHAnsi"/>
              </w:rPr>
              <w:t>PowerWalls</w:t>
            </w:r>
            <w:proofErr w:type="spellEnd"/>
            <w:r w:rsidRPr="00C7550F">
              <w:rPr>
                <w:rFonts w:asciiTheme="minorHAnsi" w:hAnsiTheme="minorHAnsi"/>
              </w:rPr>
              <w:t xml:space="preserve"> or</w:t>
            </w:r>
          </w:p>
          <w:p w14:paraId="6A09EE65" w14:textId="77777777" w:rsidR="00A429B0" w:rsidRPr="00C7550F" w:rsidRDefault="00797687" w:rsidP="00C7550F">
            <w:pPr>
              <w:rPr>
                <w:rFonts w:asciiTheme="minorHAnsi" w:hAnsiTheme="minorHAnsi"/>
              </w:rPr>
            </w:pPr>
            <w:r w:rsidRPr="00C7550F">
              <w:rPr>
                <w:rFonts w:asciiTheme="minorHAnsi" w:hAnsiTheme="minorHAnsi"/>
              </w:rPr>
              <w:t>similar applications)</w:t>
            </w:r>
          </w:p>
        </w:tc>
      </w:tr>
    </w:tbl>
    <w:p w14:paraId="49853FE8" w14:textId="77777777" w:rsidR="00A429B0" w:rsidRPr="001F22F2" w:rsidRDefault="00A429B0">
      <w:pPr>
        <w:pStyle w:val="BodyText"/>
        <w:rPr>
          <w:rFonts w:asciiTheme="minorHAnsi" w:hAnsiTheme="minorHAnsi"/>
          <w:b/>
        </w:rPr>
      </w:pPr>
    </w:p>
    <w:p w14:paraId="17F187F1" w14:textId="77777777" w:rsidR="00A429B0" w:rsidRPr="001F22F2" w:rsidRDefault="00A429B0">
      <w:pPr>
        <w:pStyle w:val="BodyText"/>
        <w:spacing w:before="7"/>
        <w:rPr>
          <w:rFonts w:asciiTheme="minorHAnsi" w:hAnsiTheme="minorHAnsi"/>
          <w:b/>
        </w:rPr>
      </w:pPr>
    </w:p>
    <w:tbl>
      <w:tblPr>
        <w:tblStyle w:val="TableGrid"/>
        <w:tblW w:w="0" w:type="auto"/>
        <w:tblLayout w:type="fixed"/>
        <w:tblLook w:val="01E0" w:firstRow="1" w:lastRow="1" w:firstColumn="1" w:lastColumn="1" w:noHBand="0" w:noVBand="0"/>
      </w:tblPr>
      <w:tblGrid>
        <w:gridCol w:w="986"/>
        <w:gridCol w:w="9808"/>
      </w:tblGrid>
      <w:tr w:rsidR="00A429B0" w:rsidRPr="001F22F2" w14:paraId="12EF7544" w14:textId="77777777" w:rsidTr="00D3198B">
        <w:trPr>
          <w:trHeight w:val="270"/>
        </w:trPr>
        <w:tc>
          <w:tcPr>
            <w:tcW w:w="10794" w:type="dxa"/>
            <w:gridSpan w:val="2"/>
          </w:tcPr>
          <w:p w14:paraId="27F8E82B" w14:textId="77777777" w:rsidR="00A429B0" w:rsidRPr="001F22F2" w:rsidRDefault="00797687">
            <w:pPr>
              <w:pStyle w:val="TableParagraph"/>
              <w:spacing w:before="4" w:line="246" w:lineRule="exact"/>
              <w:ind w:left="107"/>
              <w:rPr>
                <w:rFonts w:asciiTheme="minorHAnsi" w:hAnsiTheme="minorHAnsi"/>
                <w:b/>
              </w:rPr>
            </w:pPr>
            <w:bookmarkStart w:id="1" w:name="_Hlk11753913"/>
            <w:r w:rsidRPr="001F22F2">
              <w:rPr>
                <w:rFonts w:asciiTheme="minorHAnsi" w:hAnsiTheme="minorHAnsi"/>
                <w:b/>
              </w:rPr>
              <w:t>Interconnection</w:t>
            </w:r>
          </w:p>
        </w:tc>
      </w:tr>
      <w:tr w:rsidR="00A429B0" w:rsidRPr="001F22F2" w14:paraId="44CD2254" w14:textId="77777777" w:rsidTr="00D3198B">
        <w:trPr>
          <w:trHeight w:val="537"/>
        </w:trPr>
        <w:tc>
          <w:tcPr>
            <w:tcW w:w="986" w:type="dxa"/>
          </w:tcPr>
          <w:p w14:paraId="07727BA9" w14:textId="77777777" w:rsidR="00A429B0" w:rsidRPr="001F22F2" w:rsidRDefault="00A429B0">
            <w:pPr>
              <w:pStyle w:val="TableParagraph"/>
              <w:spacing w:before="0"/>
              <w:ind w:left="0"/>
              <w:rPr>
                <w:rFonts w:asciiTheme="minorHAnsi" w:hAnsiTheme="minorHAnsi"/>
              </w:rPr>
            </w:pPr>
          </w:p>
        </w:tc>
        <w:tc>
          <w:tcPr>
            <w:tcW w:w="9808" w:type="dxa"/>
          </w:tcPr>
          <w:p w14:paraId="4DFEC096" w14:textId="64EE7068" w:rsidR="00A429B0" w:rsidRPr="001F22F2" w:rsidRDefault="00797687">
            <w:pPr>
              <w:pStyle w:val="TableParagraph"/>
              <w:rPr>
                <w:rFonts w:asciiTheme="minorHAnsi" w:hAnsiTheme="minorHAnsi"/>
              </w:rPr>
            </w:pPr>
            <w:r w:rsidRPr="001F22F2">
              <w:rPr>
                <w:rFonts w:asciiTheme="minorHAnsi" w:hAnsiTheme="minorHAnsi"/>
              </w:rPr>
              <w:t>The interconnection methods comply with NEC Article 705.12 (if connected to other energy</w:t>
            </w:r>
          </w:p>
          <w:p w14:paraId="412F0B31" w14:textId="77777777" w:rsidR="00A429B0" w:rsidRPr="001F22F2" w:rsidRDefault="00797687">
            <w:pPr>
              <w:pStyle w:val="TableParagraph"/>
              <w:spacing w:before="16" w:line="246" w:lineRule="exact"/>
              <w:rPr>
                <w:rFonts w:asciiTheme="minorHAnsi" w:hAnsiTheme="minorHAnsi"/>
              </w:rPr>
            </w:pPr>
            <w:r w:rsidRPr="001F22F2">
              <w:rPr>
                <w:rFonts w:asciiTheme="minorHAnsi" w:hAnsiTheme="minorHAnsi"/>
              </w:rPr>
              <w:t>sources)</w:t>
            </w:r>
          </w:p>
        </w:tc>
      </w:tr>
      <w:bookmarkEnd w:id="1"/>
    </w:tbl>
    <w:p w14:paraId="0CAACDF4" w14:textId="77777777" w:rsidR="00A429B0" w:rsidRPr="001F22F2" w:rsidRDefault="00A429B0">
      <w:pPr>
        <w:spacing w:line="246" w:lineRule="exact"/>
        <w:rPr>
          <w:rFonts w:asciiTheme="minorHAnsi" w:hAnsiTheme="minorHAnsi"/>
        </w:rPr>
        <w:sectPr w:rsidR="00A429B0" w:rsidRPr="001F22F2" w:rsidSect="00D3198B">
          <w:pgSz w:w="12240" w:h="15840"/>
          <w:pgMar w:top="1080" w:right="720" w:bottom="720" w:left="720" w:header="720" w:footer="720" w:gutter="0"/>
          <w:cols w:space="720"/>
        </w:sectPr>
      </w:pPr>
    </w:p>
    <w:tbl>
      <w:tblPr>
        <w:tblStyle w:val="TableGrid"/>
        <w:tblW w:w="0" w:type="auto"/>
        <w:tblLayout w:type="fixed"/>
        <w:tblLook w:val="01E0" w:firstRow="1" w:lastRow="1" w:firstColumn="1" w:lastColumn="1" w:noHBand="0" w:noVBand="0"/>
      </w:tblPr>
      <w:tblGrid>
        <w:gridCol w:w="986"/>
        <w:gridCol w:w="9808"/>
      </w:tblGrid>
      <w:tr w:rsidR="00A429B0" w:rsidRPr="001F22F2" w14:paraId="4D6B7813" w14:textId="77777777" w:rsidTr="00D3198B">
        <w:trPr>
          <w:trHeight w:val="268"/>
        </w:trPr>
        <w:tc>
          <w:tcPr>
            <w:tcW w:w="10794" w:type="dxa"/>
            <w:gridSpan w:val="2"/>
          </w:tcPr>
          <w:p w14:paraId="0FABD087" w14:textId="77777777" w:rsidR="00A429B0" w:rsidRPr="001F22F2" w:rsidRDefault="00797687">
            <w:pPr>
              <w:pStyle w:val="TableParagraph"/>
              <w:spacing w:line="246" w:lineRule="exact"/>
              <w:ind w:left="107"/>
              <w:rPr>
                <w:rFonts w:asciiTheme="minorHAnsi" w:hAnsiTheme="minorHAnsi"/>
                <w:b/>
              </w:rPr>
            </w:pPr>
            <w:r w:rsidRPr="001F22F2">
              <w:rPr>
                <w:rFonts w:asciiTheme="minorHAnsi" w:hAnsiTheme="minorHAnsi"/>
                <w:b/>
              </w:rPr>
              <w:lastRenderedPageBreak/>
              <w:t>Signage</w:t>
            </w:r>
          </w:p>
        </w:tc>
      </w:tr>
      <w:tr w:rsidR="00A429B0" w:rsidRPr="001F22F2" w14:paraId="46B1EA10" w14:textId="77777777" w:rsidTr="00D3198B">
        <w:trPr>
          <w:trHeight w:val="1682"/>
        </w:trPr>
        <w:tc>
          <w:tcPr>
            <w:tcW w:w="986" w:type="dxa"/>
          </w:tcPr>
          <w:p w14:paraId="2EEA511D" w14:textId="77777777" w:rsidR="00A429B0" w:rsidRPr="001F22F2" w:rsidRDefault="00A429B0">
            <w:pPr>
              <w:pStyle w:val="TableParagraph"/>
              <w:spacing w:before="0"/>
              <w:ind w:left="0"/>
              <w:rPr>
                <w:rFonts w:asciiTheme="minorHAnsi" w:hAnsiTheme="minorHAnsi"/>
              </w:rPr>
            </w:pPr>
          </w:p>
        </w:tc>
        <w:tc>
          <w:tcPr>
            <w:tcW w:w="9808" w:type="dxa"/>
          </w:tcPr>
          <w:p w14:paraId="6E3681B3" w14:textId="77777777" w:rsidR="00A429B0" w:rsidRPr="00C7550F" w:rsidRDefault="00797687" w:rsidP="00C7550F">
            <w:pPr>
              <w:rPr>
                <w:rFonts w:asciiTheme="minorHAnsi" w:hAnsiTheme="minorHAnsi"/>
              </w:rPr>
            </w:pPr>
            <w:r w:rsidRPr="00C7550F">
              <w:rPr>
                <w:rFonts w:asciiTheme="minorHAnsi" w:hAnsiTheme="minorHAnsi"/>
              </w:rPr>
              <w:t xml:space="preserve">The signage shall </w:t>
            </w:r>
            <w:proofErr w:type="gramStart"/>
            <w:r w:rsidRPr="00C7550F">
              <w:rPr>
                <w:rFonts w:asciiTheme="minorHAnsi" w:hAnsiTheme="minorHAnsi"/>
              </w:rPr>
              <w:t>be in compliance with</w:t>
            </w:r>
            <w:proofErr w:type="gramEnd"/>
            <w:r w:rsidRPr="00C7550F">
              <w:rPr>
                <w:rFonts w:asciiTheme="minorHAnsi" w:hAnsiTheme="minorHAnsi"/>
              </w:rPr>
              <w:t xml:space="preserve"> ANSI Z535 and shall include the following information</w:t>
            </w:r>
          </w:p>
          <w:p w14:paraId="3C1AAAC3" w14:textId="77777777" w:rsidR="00A429B0" w:rsidRPr="00C7550F" w:rsidRDefault="00797687" w:rsidP="00C7550F">
            <w:pPr>
              <w:pStyle w:val="ListParagraph"/>
              <w:numPr>
                <w:ilvl w:val="0"/>
                <w:numId w:val="10"/>
              </w:numPr>
              <w:rPr>
                <w:rFonts w:asciiTheme="minorHAnsi" w:hAnsiTheme="minorHAnsi"/>
              </w:rPr>
            </w:pPr>
            <w:r w:rsidRPr="00C7550F">
              <w:rPr>
                <w:rFonts w:asciiTheme="minorHAnsi" w:hAnsiTheme="minorHAnsi"/>
              </w:rPr>
              <w:t>Labeled “Energy Storage Systems” with symbol of lightning bolt in a triangle</w:t>
            </w:r>
          </w:p>
          <w:p w14:paraId="6615C2B2" w14:textId="77777777" w:rsidR="00A429B0" w:rsidRPr="00C7550F" w:rsidRDefault="00797687" w:rsidP="00C7550F">
            <w:pPr>
              <w:pStyle w:val="ListParagraph"/>
              <w:numPr>
                <w:ilvl w:val="0"/>
                <w:numId w:val="10"/>
              </w:numPr>
              <w:rPr>
                <w:rFonts w:asciiTheme="minorHAnsi" w:hAnsiTheme="minorHAnsi"/>
              </w:rPr>
            </w:pPr>
            <w:r w:rsidRPr="00C7550F">
              <w:rPr>
                <w:rFonts w:asciiTheme="minorHAnsi" w:hAnsiTheme="minorHAnsi"/>
              </w:rPr>
              <w:t>Type of technology associated with the ESS</w:t>
            </w:r>
          </w:p>
          <w:p w14:paraId="6BDB07EB" w14:textId="77777777" w:rsidR="00A429B0" w:rsidRPr="00C7550F" w:rsidRDefault="00797687" w:rsidP="00C7550F">
            <w:pPr>
              <w:pStyle w:val="ListParagraph"/>
              <w:numPr>
                <w:ilvl w:val="0"/>
                <w:numId w:val="10"/>
              </w:numPr>
              <w:rPr>
                <w:rFonts w:asciiTheme="minorHAnsi" w:hAnsiTheme="minorHAnsi"/>
              </w:rPr>
            </w:pPr>
            <w:r w:rsidRPr="00C7550F">
              <w:rPr>
                <w:rFonts w:asciiTheme="minorHAnsi" w:hAnsiTheme="minorHAnsi"/>
              </w:rPr>
              <w:t>Special hazards associated</w:t>
            </w:r>
          </w:p>
          <w:p w14:paraId="4CCBB9BB" w14:textId="77777777" w:rsidR="00A429B0" w:rsidRPr="00C7550F" w:rsidRDefault="00797687" w:rsidP="00C7550F">
            <w:pPr>
              <w:pStyle w:val="ListParagraph"/>
              <w:numPr>
                <w:ilvl w:val="0"/>
                <w:numId w:val="10"/>
              </w:numPr>
              <w:rPr>
                <w:rFonts w:asciiTheme="minorHAnsi" w:hAnsiTheme="minorHAnsi"/>
              </w:rPr>
            </w:pPr>
            <w:r w:rsidRPr="00C7550F">
              <w:rPr>
                <w:rFonts w:asciiTheme="minorHAnsi" w:hAnsiTheme="minorHAnsi"/>
              </w:rPr>
              <w:t>Type of suppression system installed in the area of the ESS</w:t>
            </w:r>
          </w:p>
          <w:p w14:paraId="3EA12269" w14:textId="77777777" w:rsidR="00A429B0" w:rsidRPr="00C7550F" w:rsidRDefault="00797687" w:rsidP="00C7550F">
            <w:pPr>
              <w:pStyle w:val="ListParagraph"/>
              <w:numPr>
                <w:ilvl w:val="0"/>
                <w:numId w:val="10"/>
              </w:numPr>
              <w:rPr>
                <w:rFonts w:asciiTheme="minorHAnsi" w:hAnsiTheme="minorHAnsi"/>
              </w:rPr>
            </w:pPr>
            <w:r w:rsidRPr="00C7550F">
              <w:rPr>
                <w:rFonts w:asciiTheme="minorHAnsi" w:hAnsiTheme="minorHAnsi"/>
              </w:rPr>
              <w:t>Emergency contact information</w:t>
            </w:r>
          </w:p>
        </w:tc>
      </w:tr>
      <w:tr w:rsidR="00A429B0" w:rsidRPr="001F22F2" w14:paraId="01052949" w14:textId="77777777" w:rsidTr="00D3198B">
        <w:trPr>
          <w:trHeight w:val="1072"/>
        </w:trPr>
        <w:tc>
          <w:tcPr>
            <w:tcW w:w="986" w:type="dxa"/>
          </w:tcPr>
          <w:p w14:paraId="326D5270" w14:textId="77777777" w:rsidR="00A429B0" w:rsidRPr="001F22F2" w:rsidRDefault="00A429B0">
            <w:pPr>
              <w:pStyle w:val="TableParagraph"/>
              <w:spacing w:before="0"/>
              <w:ind w:left="0"/>
              <w:rPr>
                <w:rFonts w:asciiTheme="minorHAnsi" w:hAnsiTheme="minorHAnsi"/>
              </w:rPr>
            </w:pPr>
          </w:p>
        </w:tc>
        <w:tc>
          <w:tcPr>
            <w:tcW w:w="9808" w:type="dxa"/>
          </w:tcPr>
          <w:p w14:paraId="2700585F" w14:textId="77777777" w:rsidR="00A429B0" w:rsidRPr="00C7550F" w:rsidRDefault="00797687" w:rsidP="00C7550F">
            <w:pPr>
              <w:rPr>
                <w:rFonts w:asciiTheme="minorHAnsi" w:hAnsiTheme="minorHAnsi"/>
              </w:rPr>
            </w:pPr>
            <w:r w:rsidRPr="00C7550F">
              <w:rPr>
                <w:rFonts w:asciiTheme="minorHAnsi" w:hAnsiTheme="minorHAnsi"/>
              </w:rPr>
              <w:t>A permanent plaque or directory denoting the location of all electric power source disconnecting means on or in the premises shall be installed at each service equipment location and at the location(s) of the system disconnect(s) for all electric power production sources capable of being interconnected. The marking shall</w:t>
            </w:r>
          </w:p>
          <w:p w14:paraId="534B0B81" w14:textId="77777777" w:rsidR="00A429B0" w:rsidRPr="00C7550F" w:rsidRDefault="00797687" w:rsidP="00C7550F">
            <w:pPr>
              <w:rPr>
                <w:rFonts w:asciiTheme="minorHAnsi" w:hAnsiTheme="minorHAnsi"/>
              </w:rPr>
            </w:pPr>
            <w:r w:rsidRPr="00C7550F">
              <w:rPr>
                <w:rFonts w:asciiTheme="minorHAnsi" w:hAnsiTheme="minorHAnsi"/>
              </w:rPr>
              <w:t>comply with NEC 110.21(B) (NEC 706.11)</w:t>
            </w:r>
          </w:p>
        </w:tc>
      </w:tr>
      <w:tr w:rsidR="00A429B0" w:rsidRPr="001F22F2" w14:paraId="76183417" w14:textId="77777777" w:rsidTr="00D3198B">
        <w:trPr>
          <w:trHeight w:val="537"/>
        </w:trPr>
        <w:tc>
          <w:tcPr>
            <w:tcW w:w="986" w:type="dxa"/>
          </w:tcPr>
          <w:p w14:paraId="3E0D8BB1" w14:textId="77777777" w:rsidR="00A429B0" w:rsidRPr="001F22F2" w:rsidRDefault="00A429B0">
            <w:pPr>
              <w:pStyle w:val="TableParagraph"/>
              <w:spacing w:before="0"/>
              <w:ind w:left="0"/>
              <w:rPr>
                <w:rFonts w:asciiTheme="minorHAnsi" w:hAnsiTheme="minorHAnsi"/>
              </w:rPr>
            </w:pPr>
          </w:p>
        </w:tc>
        <w:tc>
          <w:tcPr>
            <w:tcW w:w="9808" w:type="dxa"/>
          </w:tcPr>
          <w:p w14:paraId="28B4EBA8" w14:textId="77777777" w:rsidR="00A429B0" w:rsidRPr="00C7550F" w:rsidRDefault="00797687" w:rsidP="00C7550F">
            <w:pPr>
              <w:rPr>
                <w:rFonts w:asciiTheme="minorHAnsi" w:hAnsiTheme="minorHAnsi"/>
              </w:rPr>
            </w:pPr>
            <w:r w:rsidRPr="00C7550F">
              <w:rPr>
                <w:rFonts w:asciiTheme="minorHAnsi" w:hAnsiTheme="minorHAnsi"/>
              </w:rPr>
              <w:t>Equipment containing overcurrent devices in circuits supplying power to a busbar or conductors supplied</w:t>
            </w:r>
          </w:p>
          <w:p w14:paraId="3FC14F9E" w14:textId="77777777" w:rsidR="00A429B0" w:rsidRPr="00C7550F" w:rsidRDefault="00797687" w:rsidP="00C7550F">
            <w:pPr>
              <w:rPr>
                <w:rFonts w:asciiTheme="minorHAnsi" w:hAnsiTheme="minorHAnsi"/>
              </w:rPr>
            </w:pPr>
            <w:r w:rsidRPr="00C7550F">
              <w:rPr>
                <w:rFonts w:asciiTheme="minorHAnsi" w:hAnsiTheme="minorHAnsi"/>
              </w:rPr>
              <w:t>from multiple sources shall be marked to indicate the presence of all sources. (NEC 705.12(B)(3))</w:t>
            </w:r>
          </w:p>
        </w:tc>
      </w:tr>
      <w:tr w:rsidR="00A429B0" w:rsidRPr="001F22F2" w14:paraId="4825693E" w14:textId="77777777" w:rsidTr="00D3198B">
        <w:trPr>
          <w:trHeight w:val="537"/>
        </w:trPr>
        <w:tc>
          <w:tcPr>
            <w:tcW w:w="986" w:type="dxa"/>
          </w:tcPr>
          <w:p w14:paraId="19935270" w14:textId="77777777" w:rsidR="00A429B0" w:rsidRPr="001F22F2" w:rsidRDefault="00A429B0">
            <w:pPr>
              <w:pStyle w:val="TableParagraph"/>
              <w:spacing w:before="0"/>
              <w:ind w:left="0"/>
              <w:rPr>
                <w:rFonts w:asciiTheme="minorHAnsi" w:hAnsiTheme="minorHAnsi"/>
              </w:rPr>
            </w:pPr>
          </w:p>
        </w:tc>
        <w:tc>
          <w:tcPr>
            <w:tcW w:w="9808" w:type="dxa"/>
          </w:tcPr>
          <w:p w14:paraId="43CE64BC" w14:textId="77777777" w:rsidR="00A429B0" w:rsidRPr="00C7550F" w:rsidRDefault="00797687" w:rsidP="00C7550F">
            <w:pPr>
              <w:rPr>
                <w:rFonts w:asciiTheme="minorHAnsi" w:hAnsiTheme="minorHAnsi"/>
              </w:rPr>
            </w:pPr>
            <w:r w:rsidRPr="00C7550F">
              <w:rPr>
                <w:rFonts w:asciiTheme="minorHAnsi" w:hAnsiTheme="minorHAnsi"/>
              </w:rPr>
              <w:t>PV system output circuit conductors shall be marked to indicate the polarity where connected to battery</w:t>
            </w:r>
          </w:p>
          <w:p w14:paraId="5FFB562A" w14:textId="77777777" w:rsidR="00A429B0" w:rsidRPr="00C7550F" w:rsidRDefault="00797687" w:rsidP="00C7550F">
            <w:pPr>
              <w:rPr>
                <w:rFonts w:asciiTheme="minorHAnsi" w:hAnsiTheme="minorHAnsi"/>
              </w:rPr>
            </w:pPr>
            <w:r w:rsidRPr="00C7550F">
              <w:rPr>
                <w:rFonts w:asciiTheme="minorHAnsi" w:hAnsiTheme="minorHAnsi"/>
              </w:rPr>
              <w:t>energy storage systems. (NEC 690.55)</w:t>
            </w:r>
          </w:p>
        </w:tc>
      </w:tr>
      <w:tr w:rsidR="00A429B0" w:rsidRPr="001F22F2" w14:paraId="78DE415D" w14:textId="77777777" w:rsidTr="00D3198B">
        <w:trPr>
          <w:trHeight w:val="323"/>
        </w:trPr>
        <w:tc>
          <w:tcPr>
            <w:tcW w:w="986" w:type="dxa"/>
          </w:tcPr>
          <w:p w14:paraId="5E433D26" w14:textId="77777777" w:rsidR="00A429B0" w:rsidRPr="001F22F2" w:rsidRDefault="00A429B0">
            <w:pPr>
              <w:pStyle w:val="TableParagraph"/>
              <w:spacing w:before="0"/>
              <w:ind w:left="0"/>
              <w:rPr>
                <w:rFonts w:asciiTheme="minorHAnsi" w:hAnsiTheme="minorHAnsi"/>
              </w:rPr>
            </w:pPr>
          </w:p>
        </w:tc>
        <w:tc>
          <w:tcPr>
            <w:tcW w:w="9808" w:type="dxa"/>
          </w:tcPr>
          <w:p w14:paraId="5C6063B7" w14:textId="159651BD" w:rsidR="00A429B0" w:rsidRPr="00C7550F" w:rsidRDefault="00797687" w:rsidP="00C7550F">
            <w:pPr>
              <w:rPr>
                <w:rFonts w:asciiTheme="minorHAnsi" w:hAnsiTheme="minorHAnsi"/>
              </w:rPr>
            </w:pPr>
            <w:r w:rsidRPr="00C7550F">
              <w:rPr>
                <w:rFonts w:asciiTheme="minorHAnsi" w:hAnsiTheme="minorHAnsi"/>
              </w:rPr>
              <w:t xml:space="preserve">DC system conductors of </w:t>
            </w:r>
            <w:r w:rsidR="006811DF" w:rsidRPr="00C7550F">
              <w:rPr>
                <w:rFonts w:asciiTheme="minorHAnsi" w:hAnsiTheme="minorHAnsi"/>
              </w:rPr>
              <w:t xml:space="preserve">4 </w:t>
            </w:r>
            <w:r w:rsidRPr="00C7550F">
              <w:rPr>
                <w:rFonts w:asciiTheme="minorHAnsi" w:hAnsiTheme="minorHAnsi"/>
              </w:rPr>
              <w:t xml:space="preserve">AWG or </w:t>
            </w:r>
            <w:r w:rsidR="006811DF" w:rsidRPr="00C7550F">
              <w:rPr>
                <w:rFonts w:asciiTheme="minorHAnsi" w:hAnsiTheme="minorHAnsi"/>
              </w:rPr>
              <w:t xml:space="preserve">larger </w:t>
            </w:r>
            <w:r w:rsidRPr="00C7550F">
              <w:rPr>
                <w:rFonts w:asciiTheme="minorHAnsi" w:hAnsiTheme="minorHAnsi"/>
              </w:rPr>
              <w:t xml:space="preserve">shall be identified </w:t>
            </w:r>
            <w:r w:rsidR="006811DF" w:rsidRPr="00C7550F">
              <w:rPr>
                <w:rFonts w:asciiTheme="minorHAnsi" w:hAnsiTheme="minorHAnsi"/>
              </w:rPr>
              <w:t>using colored marking tape,</w:t>
            </w:r>
            <w:r w:rsidRPr="00C7550F">
              <w:rPr>
                <w:rFonts w:asciiTheme="minorHAnsi" w:hAnsiTheme="minorHAnsi"/>
              </w:rPr>
              <w:t xml:space="preserve"> (NEC 210.5(C)(2))</w:t>
            </w:r>
          </w:p>
        </w:tc>
      </w:tr>
      <w:tr w:rsidR="00A429B0" w:rsidRPr="001F22F2" w14:paraId="219DD61C" w14:textId="77777777" w:rsidTr="00D3198B">
        <w:trPr>
          <w:trHeight w:val="805"/>
        </w:trPr>
        <w:tc>
          <w:tcPr>
            <w:tcW w:w="986" w:type="dxa"/>
          </w:tcPr>
          <w:p w14:paraId="017E7D7B" w14:textId="77777777" w:rsidR="00A429B0" w:rsidRPr="001F22F2" w:rsidRDefault="00A429B0">
            <w:pPr>
              <w:pStyle w:val="TableParagraph"/>
              <w:spacing w:before="0"/>
              <w:ind w:left="0"/>
              <w:rPr>
                <w:rFonts w:asciiTheme="minorHAnsi" w:hAnsiTheme="minorHAnsi"/>
              </w:rPr>
            </w:pPr>
          </w:p>
        </w:tc>
        <w:tc>
          <w:tcPr>
            <w:tcW w:w="9808" w:type="dxa"/>
          </w:tcPr>
          <w:p w14:paraId="6CA0925A" w14:textId="77777777" w:rsidR="00A429B0" w:rsidRPr="00C7550F" w:rsidRDefault="00797687" w:rsidP="00C7550F">
            <w:pPr>
              <w:rPr>
                <w:rFonts w:asciiTheme="minorHAnsi" w:hAnsiTheme="minorHAnsi"/>
              </w:rPr>
            </w:pPr>
            <w:r w:rsidRPr="00C7550F">
              <w:rPr>
                <w:rFonts w:asciiTheme="minorHAnsi" w:hAnsiTheme="minorHAnsi"/>
              </w:rPr>
              <w:t>Where controls to activate the disconnecting means of a battery are not located within sight of a stationary battery system, the location of the controls shall be field marked on the disconnecting means.</w:t>
            </w:r>
          </w:p>
          <w:p w14:paraId="671B6926" w14:textId="77777777" w:rsidR="00A429B0" w:rsidRPr="00C7550F" w:rsidRDefault="00797687" w:rsidP="00C7550F">
            <w:pPr>
              <w:rPr>
                <w:rFonts w:asciiTheme="minorHAnsi" w:hAnsiTheme="minorHAnsi"/>
              </w:rPr>
            </w:pPr>
            <w:r w:rsidRPr="00C7550F">
              <w:rPr>
                <w:rFonts w:asciiTheme="minorHAnsi" w:hAnsiTheme="minorHAnsi"/>
              </w:rPr>
              <w:t>(NEC 480.7(B))</w:t>
            </w:r>
          </w:p>
        </w:tc>
      </w:tr>
      <w:tr w:rsidR="00A429B0" w:rsidRPr="001F22F2" w14:paraId="55688CE7" w14:textId="77777777" w:rsidTr="00D3198B">
        <w:trPr>
          <w:trHeight w:val="805"/>
        </w:trPr>
        <w:tc>
          <w:tcPr>
            <w:tcW w:w="986" w:type="dxa"/>
          </w:tcPr>
          <w:p w14:paraId="3F2BBAF3" w14:textId="77777777" w:rsidR="00A429B0" w:rsidRPr="001F22F2" w:rsidRDefault="00A429B0">
            <w:pPr>
              <w:pStyle w:val="TableParagraph"/>
              <w:spacing w:before="0"/>
              <w:ind w:left="0"/>
              <w:rPr>
                <w:rFonts w:asciiTheme="minorHAnsi" w:hAnsiTheme="minorHAnsi"/>
              </w:rPr>
            </w:pPr>
          </w:p>
        </w:tc>
        <w:tc>
          <w:tcPr>
            <w:tcW w:w="9808" w:type="dxa"/>
          </w:tcPr>
          <w:p w14:paraId="754E3C34" w14:textId="20C872C6" w:rsidR="00A429B0" w:rsidRPr="00C7550F" w:rsidRDefault="006811DF" w:rsidP="00C7550F">
            <w:pPr>
              <w:rPr>
                <w:rFonts w:asciiTheme="minorHAnsi" w:hAnsiTheme="minorHAnsi"/>
              </w:rPr>
            </w:pPr>
            <w:r w:rsidRPr="00C7550F">
              <w:rPr>
                <w:rFonts w:asciiTheme="minorHAnsi" w:hAnsiTheme="minorHAnsi"/>
              </w:rPr>
              <w:t>Where controls to activate the disconnecting means of an ESS are not located within sight of the system, the disconnecting means shall be capable of being locked in the open position, in accordance with 110.25, and the location of the controls shall be field marked on the disconnecting means. (NEC 706.7(B)</w:t>
            </w:r>
            <w:r w:rsidRPr="00C7550F" w:rsidDel="006811DF">
              <w:rPr>
                <w:rFonts w:asciiTheme="minorHAnsi" w:hAnsiTheme="minorHAnsi"/>
              </w:rPr>
              <w:t xml:space="preserve"> </w:t>
            </w:r>
          </w:p>
        </w:tc>
      </w:tr>
      <w:tr w:rsidR="00A429B0" w:rsidRPr="001F22F2" w14:paraId="02A5777E" w14:textId="77777777" w:rsidTr="00D3198B">
        <w:trPr>
          <w:trHeight w:val="2416"/>
        </w:trPr>
        <w:tc>
          <w:tcPr>
            <w:tcW w:w="986" w:type="dxa"/>
          </w:tcPr>
          <w:p w14:paraId="26F2570E" w14:textId="77777777" w:rsidR="00A429B0" w:rsidRPr="001F22F2" w:rsidRDefault="00A429B0">
            <w:pPr>
              <w:pStyle w:val="TableParagraph"/>
              <w:spacing w:before="0"/>
              <w:ind w:left="0"/>
              <w:rPr>
                <w:rFonts w:asciiTheme="minorHAnsi" w:hAnsiTheme="minorHAnsi"/>
              </w:rPr>
            </w:pPr>
          </w:p>
        </w:tc>
        <w:tc>
          <w:tcPr>
            <w:tcW w:w="9808" w:type="dxa"/>
          </w:tcPr>
          <w:p w14:paraId="3A028575" w14:textId="77777777" w:rsidR="00EA43DE" w:rsidRPr="00BD6C1C" w:rsidRDefault="00EA43DE" w:rsidP="00BD6C1C">
            <w:pPr>
              <w:rPr>
                <w:rFonts w:asciiTheme="minorHAnsi" w:hAnsiTheme="minorHAnsi"/>
              </w:rPr>
            </w:pPr>
            <w:r w:rsidRPr="00BD6C1C">
              <w:rPr>
                <w:rFonts w:asciiTheme="minorHAnsi" w:hAnsiTheme="minorHAnsi"/>
              </w:rPr>
              <w:t>Where the sum of the ampere ratings of all overcurrent devices on panelboards, both load and supply devices, excluding the rating of the overcurrent device protecting the busbar, shall not exceed the ampacity of the busbar. The rating of the overcurrent device protecting the busbar shall not exceed the rating of the busbar. Permanent warning labels shall be applied to distribution</w:t>
            </w:r>
          </w:p>
          <w:p w14:paraId="0DC6BD63" w14:textId="035C6BE1" w:rsidR="00A429B0" w:rsidRPr="00BD6C1C" w:rsidRDefault="00EA43DE" w:rsidP="00BD6C1C">
            <w:pPr>
              <w:rPr>
                <w:rFonts w:asciiTheme="minorHAnsi" w:hAnsiTheme="minorHAnsi"/>
              </w:rPr>
            </w:pPr>
            <w:r w:rsidRPr="00BD6C1C">
              <w:rPr>
                <w:rFonts w:asciiTheme="minorHAnsi" w:hAnsiTheme="minorHAnsi"/>
              </w:rPr>
              <w:t>equipment displaying the following or equivalent wording:</w:t>
            </w:r>
            <w:r w:rsidRPr="00BD6C1C" w:rsidDel="00EA43DE">
              <w:rPr>
                <w:rFonts w:asciiTheme="minorHAnsi" w:hAnsiTheme="minorHAnsi"/>
              </w:rPr>
              <w:t xml:space="preserve"> </w:t>
            </w:r>
            <w:r w:rsidR="00797687" w:rsidRPr="00BD6C1C">
              <w:rPr>
                <w:rFonts w:asciiTheme="minorHAnsi" w:hAnsiTheme="minorHAnsi"/>
              </w:rPr>
              <w:t>(NEC 705.12(B)</w:t>
            </w:r>
            <w:r w:rsidR="00BD6C1C">
              <w:rPr>
                <w:rFonts w:asciiTheme="minorHAnsi" w:hAnsiTheme="minorHAnsi"/>
              </w:rPr>
              <w:t>(2)</w:t>
            </w:r>
            <w:r w:rsidR="00797687" w:rsidRPr="00BD6C1C">
              <w:rPr>
                <w:rFonts w:asciiTheme="minorHAnsi" w:hAnsiTheme="minorHAnsi"/>
              </w:rPr>
              <w:t>(</w:t>
            </w:r>
            <w:r w:rsidRPr="00BD6C1C">
              <w:rPr>
                <w:rFonts w:asciiTheme="minorHAnsi" w:hAnsiTheme="minorHAnsi"/>
              </w:rPr>
              <w:t>3</w:t>
            </w:r>
            <w:r w:rsidR="00797687" w:rsidRPr="00BD6C1C">
              <w:rPr>
                <w:rFonts w:asciiTheme="minorHAnsi" w:hAnsiTheme="minorHAnsi"/>
              </w:rPr>
              <w:t>)(c)):</w:t>
            </w:r>
          </w:p>
          <w:p w14:paraId="1C5C3750" w14:textId="77777777" w:rsidR="00A429B0" w:rsidRPr="001F22F2" w:rsidRDefault="00797687" w:rsidP="00BD6C1C">
            <w:pPr>
              <w:pStyle w:val="TableParagraph"/>
              <w:ind w:left="2010" w:right="2280"/>
              <w:jc w:val="center"/>
              <w:rPr>
                <w:rFonts w:asciiTheme="minorHAnsi" w:hAnsiTheme="minorHAnsi"/>
              </w:rPr>
            </w:pPr>
            <w:r w:rsidRPr="001F22F2">
              <w:rPr>
                <w:rFonts w:asciiTheme="minorHAnsi" w:hAnsiTheme="minorHAnsi"/>
              </w:rPr>
              <w:t>WARNING:</w:t>
            </w:r>
          </w:p>
          <w:p w14:paraId="18C2C252" w14:textId="77777777" w:rsidR="00A429B0" w:rsidRPr="001F22F2" w:rsidRDefault="00797687" w:rsidP="00BD6C1C">
            <w:pPr>
              <w:pStyle w:val="TableParagraph"/>
              <w:spacing w:before="6" w:line="268" w:lineRule="exact"/>
              <w:ind w:left="2010" w:right="2278"/>
              <w:jc w:val="center"/>
              <w:rPr>
                <w:rFonts w:asciiTheme="minorHAnsi" w:hAnsiTheme="minorHAnsi"/>
              </w:rPr>
            </w:pPr>
            <w:r w:rsidRPr="001F22F2">
              <w:rPr>
                <w:rFonts w:asciiTheme="minorHAnsi" w:hAnsiTheme="minorHAnsi"/>
                <w:w w:val="85"/>
              </w:rPr>
              <w:t xml:space="preserve">THIS EQUIPMENT FED BY MULTIPLE SOURCES. TOTAL RATING OF ALL OVERCURRENT DEVICES, </w:t>
            </w:r>
            <w:r w:rsidRPr="001F22F2">
              <w:rPr>
                <w:rFonts w:asciiTheme="minorHAnsi" w:hAnsiTheme="minorHAnsi"/>
                <w:w w:val="80"/>
              </w:rPr>
              <w:t xml:space="preserve">EXCLUDING MAIN SUPPLY OVERCURRENT DEVICE, </w:t>
            </w:r>
            <w:r w:rsidRPr="001F22F2">
              <w:rPr>
                <w:rFonts w:asciiTheme="minorHAnsi" w:hAnsiTheme="minorHAnsi"/>
                <w:w w:val="85"/>
              </w:rPr>
              <w:t>SHALL NOT EXCEED AMPACITY OF BUSBAR.</w:t>
            </w:r>
          </w:p>
        </w:tc>
      </w:tr>
      <w:tr w:rsidR="00A429B0" w:rsidRPr="001F22F2" w14:paraId="6AF95C99" w14:textId="77777777" w:rsidTr="00D3198B">
        <w:trPr>
          <w:trHeight w:val="1612"/>
        </w:trPr>
        <w:tc>
          <w:tcPr>
            <w:tcW w:w="986" w:type="dxa"/>
          </w:tcPr>
          <w:p w14:paraId="20E5DCFD" w14:textId="77777777" w:rsidR="00A429B0" w:rsidRPr="001F22F2" w:rsidRDefault="00A429B0">
            <w:pPr>
              <w:pStyle w:val="TableParagraph"/>
              <w:spacing w:before="0"/>
              <w:ind w:left="0"/>
              <w:rPr>
                <w:rFonts w:asciiTheme="minorHAnsi" w:hAnsiTheme="minorHAnsi"/>
              </w:rPr>
            </w:pPr>
          </w:p>
        </w:tc>
        <w:tc>
          <w:tcPr>
            <w:tcW w:w="9808" w:type="dxa"/>
          </w:tcPr>
          <w:p w14:paraId="2D5BA2F1" w14:textId="64CEBE36" w:rsidR="00A429B0" w:rsidRPr="00BD6C1C" w:rsidRDefault="00E2488E" w:rsidP="00BD6C1C">
            <w:pPr>
              <w:rPr>
                <w:rFonts w:asciiTheme="minorHAnsi" w:hAnsiTheme="minorHAnsi"/>
              </w:rPr>
            </w:pPr>
            <w:r w:rsidRPr="00BD6C1C">
              <w:rPr>
                <w:rFonts w:asciiTheme="minorHAnsi" w:hAnsiTheme="minorHAnsi"/>
              </w:rPr>
              <w:t>Where two sources, one a primary power source and the other another power source, are located at opposite ends of a busbar that contains loads, the sum of 125 percent of the power source(s) output circuit current and the rating of the overcurrent  device protecting the busbar shall not exceed 120 percent of the ampacity of the busbar. The busbar shall be sized for the loads connected in accordance with Article 220. A permanent warning label shall be applied to the distribution equipment adjacent to the back-fed breaker from the power source that displays the following or equivalent wording:</w:t>
            </w:r>
            <w:r w:rsidRPr="00BD6C1C" w:rsidDel="00E2488E">
              <w:rPr>
                <w:rFonts w:asciiTheme="minorHAnsi" w:hAnsiTheme="minorHAnsi"/>
              </w:rPr>
              <w:t xml:space="preserve"> </w:t>
            </w:r>
            <w:r w:rsidR="00797687" w:rsidRPr="00BD6C1C">
              <w:rPr>
                <w:rFonts w:asciiTheme="minorHAnsi" w:hAnsiTheme="minorHAnsi"/>
              </w:rPr>
              <w:t>(NEC 705.12(B)</w:t>
            </w:r>
            <w:r w:rsidR="00BD6C1C">
              <w:rPr>
                <w:rFonts w:asciiTheme="minorHAnsi" w:hAnsiTheme="minorHAnsi"/>
              </w:rPr>
              <w:t>(2)</w:t>
            </w:r>
            <w:r w:rsidR="00797687" w:rsidRPr="00BD6C1C">
              <w:rPr>
                <w:rFonts w:asciiTheme="minorHAnsi" w:hAnsiTheme="minorHAnsi"/>
              </w:rPr>
              <w:t>(</w:t>
            </w:r>
            <w:r w:rsidRPr="00BD6C1C">
              <w:rPr>
                <w:rFonts w:asciiTheme="minorHAnsi" w:hAnsiTheme="minorHAnsi"/>
              </w:rPr>
              <w:t>3</w:t>
            </w:r>
            <w:r w:rsidR="00797687" w:rsidRPr="00BD6C1C">
              <w:rPr>
                <w:rFonts w:asciiTheme="minorHAnsi" w:hAnsiTheme="minorHAnsi"/>
              </w:rPr>
              <w:t>)(b)):</w:t>
            </w:r>
          </w:p>
          <w:p w14:paraId="2F86B78A" w14:textId="77777777" w:rsidR="00A429B0" w:rsidRPr="001F22F2" w:rsidRDefault="00797687">
            <w:pPr>
              <w:pStyle w:val="TableParagraph"/>
              <w:ind w:left="2010" w:right="2280"/>
              <w:jc w:val="center"/>
              <w:rPr>
                <w:rFonts w:asciiTheme="minorHAnsi" w:hAnsiTheme="minorHAnsi"/>
              </w:rPr>
            </w:pPr>
            <w:r w:rsidRPr="001F22F2">
              <w:rPr>
                <w:rFonts w:asciiTheme="minorHAnsi" w:hAnsiTheme="minorHAnsi"/>
              </w:rPr>
              <w:t>WARNING:</w:t>
            </w:r>
          </w:p>
          <w:p w14:paraId="5E3C079E" w14:textId="77777777" w:rsidR="00A429B0" w:rsidRPr="001F22F2" w:rsidRDefault="00797687">
            <w:pPr>
              <w:pStyle w:val="TableParagraph"/>
              <w:spacing w:before="16"/>
              <w:ind w:left="2010" w:right="2280"/>
              <w:jc w:val="center"/>
              <w:rPr>
                <w:rFonts w:asciiTheme="minorHAnsi" w:hAnsiTheme="minorHAnsi"/>
              </w:rPr>
            </w:pPr>
            <w:r w:rsidRPr="001F22F2">
              <w:rPr>
                <w:rFonts w:asciiTheme="minorHAnsi" w:hAnsiTheme="minorHAnsi"/>
                <w:w w:val="95"/>
              </w:rPr>
              <w:t>INVERTER OUTPUT CONNECTION;</w:t>
            </w:r>
          </w:p>
          <w:p w14:paraId="3FFD141C" w14:textId="77777777" w:rsidR="00A429B0" w:rsidRPr="001F22F2" w:rsidRDefault="00797687">
            <w:pPr>
              <w:pStyle w:val="TableParagraph"/>
              <w:spacing w:before="16" w:line="246" w:lineRule="exact"/>
              <w:ind w:left="2010" w:right="2280"/>
              <w:jc w:val="center"/>
              <w:rPr>
                <w:rFonts w:asciiTheme="minorHAnsi" w:hAnsiTheme="minorHAnsi"/>
              </w:rPr>
            </w:pPr>
            <w:r w:rsidRPr="001F22F2">
              <w:rPr>
                <w:rFonts w:asciiTheme="minorHAnsi" w:hAnsiTheme="minorHAnsi"/>
                <w:w w:val="90"/>
              </w:rPr>
              <w:t>DO NOT RELOCATE THIS OVERCURRENT DEVICE.</w:t>
            </w:r>
          </w:p>
        </w:tc>
      </w:tr>
      <w:tr w:rsidR="00A429B0" w:rsidRPr="001F22F2" w14:paraId="19F24571" w14:textId="77777777" w:rsidTr="00D3198B">
        <w:trPr>
          <w:trHeight w:val="806"/>
        </w:trPr>
        <w:tc>
          <w:tcPr>
            <w:tcW w:w="986" w:type="dxa"/>
          </w:tcPr>
          <w:p w14:paraId="7B623F08" w14:textId="77777777" w:rsidR="00A429B0" w:rsidRPr="001F22F2" w:rsidRDefault="00A429B0">
            <w:pPr>
              <w:pStyle w:val="TableParagraph"/>
              <w:spacing w:before="0"/>
              <w:ind w:left="0"/>
              <w:rPr>
                <w:rFonts w:asciiTheme="minorHAnsi" w:hAnsiTheme="minorHAnsi"/>
              </w:rPr>
            </w:pPr>
          </w:p>
        </w:tc>
        <w:tc>
          <w:tcPr>
            <w:tcW w:w="9808" w:type="dxa"/>
          </w:tcPr>
          <w:p w14:paraId="03191404" w14:textId="605806E0" w:rsidR="00A429B0" w:rsidRPr="00BD6C1C" w:rsidRDefault="00797687" w:rsidP="00BD6C1C">
            <w:pPr>
              <w:rPr>
                <w:rFonts w:asciiTheme="minorHAnsi" w:hAnsiTheme="minorHAnsi"/>
              </w:rPr>
            </w:pPr>
            <w:r w:rsidRPr="00BD6C1C">
              <w:rPr>
                <w:rFonts w:asciiTheme="minorHAnsi" w:hAnsiTheme="minorHAnsi"/>
              </w:rPr>
              <w:t>All battery and battery management equipment and associated switchgear are marked and labeled according to all applicable codes</w:t>
            </w:r>
            <w:r w:rsidR="001C2CFE" w:rsidRPr="00BD6C1C">
              <w:rPr>
                <w:rFonts w:asciiTheme="minorHAnsi" w:hAnsiTheme="minorHAnsi"/>
              </w:rPr>
              <w:t>,</w:t>
            </w:r>
            <w:r w:rsidRPr="00BD6C1C">
              <w:rPr>
                <w:rFonts w:asciiTheme="minorHAnsi" w:hAnsiTheme="minorHAnsi"/>
              </w:rPr>
              <w:t xml:space="preserve"> including arc flash incident calculations for the safety of operation and</w:t>
            </w:r>
          </w:p>
          <w:p w14:paraId="450CDFCB" w14:textId="0A98AF8A" w:rsidR="007572BE" w:rsidRPr="001F22F2" w:rsidRDefault="00797687" w:rsidP="00C8408B">
            <w:pPr>
              <w:rPr>
                <w:rFonts w:asciiTheme="minorHAnsi" w:hAnsiTheme="minorHAnsi"/>
              </w:rPr>
            </w:pPr>
            <w:r w:rsidRPr="00BD6C1C">
              <w:rPr>
                <w:rFonts w:asciiTheme="minorHAnsi" w:hAnsiTheme="minorHAnsi"/>
              </w:rPr>
              <w:t>maintenance personnel required by the National Electrical Code and OSHA</w:t>
            </w:r>
            <w:r w:rsidR="007572BE" w:rsidRPr="00BD6C1C">
              <w:rPr>
                <w:rFonts w:asciiTheme="minorHAnsi" w:hAnsiTheme="minorHAnsi"/>
              </w:rPr>
              <w:t>: (NEC 110.16)</w:t>
            </w:r>
          </w:p>
        </w:tc>
      </w:tr>
      <w:tr w:rsidR="00A429B0" w:rsidRPr="001F22F2" w14:paraId="22D1B818" w14:textId="77777777" w:rsidTr="00D3198B">
        <w:trPr>
          <w:trHeight w:val="440"/>
        </w:trPr>
        <w:tc>
          <w:tcPr>
            <w:tcW w:w="986" w:type="dxa"/>
          </w:tcPr>
          <w:p w14:paraId="7E5EB998" w14:textId="77777777" w:rsidR="00A429B0" w:rsidRPr="001F22F2" w:rsidRDefault="00A429B0">
            <w:pPr>
              <w:pStyle w:val="TableParagraph"/>
              <w:spacing w:before="0"/>
              <w:ind w:left="0"/>
              <w:rPr>
                <w:rFonts w:asciiTheme="minorHAnsi" w:hAnsiTheme="minorHAnsi"/>
              </w:rPr>
            </w:pPr>
          </w:p>
        </w:tc>
        <w:tc>
          <w:tcPr>
            <w:tcW w:w="9808" w:type="dxa"/>
          </w:tcPr>
          <w:p w14:paraId="1302E93E" w14:textId="77777777" w:rsidR="00A429B0" w:rsidRPr="00BD6C1C" w:rsidRDefault="00797687" w:rsidP="00BD6C1C">
            <w:pPr>
              <w:rPr>
                <w:rFonts w:asciiTheme="minorHAnsi" w:hAnsiTheme="minorHAnsi"/>
              </w:rPr>
            </w:pPr>
            <w:r w:rsidRPr="00BD6C1C">
              <w:rPr>
                <w:rFonts w:asciiTheme="minorHAnsi" w:hAnsiTheme="minorHAnsi"/>
              </w:rPr>
              <w:t>If a battery dc disconnecting means is not provided at the batteries, the disconnecting means shall be legibly marked in the field. The marking shall be of sufficient durability to withstand the environment involved and shall include the following (NEC 480.7(D)):</w:t>
            </w:r>
          </w:p>
          <w:p w14:paraId="71BAAE16" w14:textId="77777777" w:rsidR="00A429B0" w:rsidRPr="001F22F2" w:rsidRDefault="00797687">
            <w:pPr>
              <w:pStyle w:val="TableParagraph"/>
              <w:numPr>
                <w:ilvl w:val="0"/>
                <w:numId w:val="1"/>
              </w:numPr>
              <w:tabs>
                <w:tab w:val="left" w:pos="825"/>
                <w:tab w:val="left" w:pos="826"/>
              </w:tabs>
              <w:spacing w:before="0" w:line="266" w:lineRule="exact"/>
              <w:ind w:hanging="360"/>
              <w:rPr>
                <w:rFonts w:asciiTheme="minorHAnsi" w:hAnsiTheme="minorHAnsi"/>
              </w:rPr>
            </w:pPr>
            <w:r w:rsidRPr="001F22F2">
              <w:rPr>
                <w:rFonts w:asciiTheme="minorHAnsi" w:hAnsiTheme="minorHAnsi"/>
              </w:rPr>
              <w:t>Nominal battery</w:t>
            </w:r>
            <w:r w:rsidRPr="001F22F2">
              <w:rPr>
                <w:rFonts w:asciiTheme="minorHAnsi" w:hAnsiTheme="minorHAnsi"/>
                <w:spacing w:val="-26"/>
              </w:rPr>
              <w:t xml:space="preserve"> </w:t>
            </w:r>
            <w:r w:rsidRPr="001F22F2">
              <w:rPr>
                <w:rFonts w:asciiTheme="minorHAnsi" w:hAnsiTheme="minorHAnsi"/>
              </w:rPr>
              <w:t>voltage</w:t>
            </w:r>
          </w:p>
          <w:p w14:paraId="21B57589" w14:textId="77777777" w:rsidR="00A429B0" w:rsidRPr="001F22F2" w:rsidRDefault="00797687">
            <w:pPr>
              <w:pStyle w:val="TableParagraph"/>
              <w:numPr>
                <w:ilvl w:val="0"/>
                <w:numId w:val="1"/>
              </w:numPr>
              <w:tabs>
                <w:tab w:val="left" w:pos="825"/>
                <w:tab w:val="left" w:pos="826"/>
              </w:tabs>
              <w:spacing w:before="11"/>
              <w:ind w:hanging="360"/>
              <w:rPr>
                <w:rFonts w:asciiTheme="minorHAnsi" w:hAnsiTheme="minorHAnsi"/>
              </w:rPr>
            </w:pPr>
            <w:r w:rsidRPr="001F22F2">
              <w:rPr>
                <w:rFonts w:asciiTheme="minorHAnsi" w:hAnsiTheme="minorHAnsi"/>
              </w:rPr>
              <w:t>Maximum</w:t>
            </w:r>
            <w:r w:rsidRPr="001F22F2">
              <w:rPr>
                <w:rFonts w:asciiTheme="minorHAnsi" w:hAnsiTheme="minorHAnsi"/>
                <w:spacing w:val="-23"/>
              </w:rPr>
              <w:t xml:space="preserve"> </w:t>
            </w:r>
            <w:r w:rsidRPr="001F22F2">
              <w:rPr>
                <w:rFonts w:asciiTheme="minorHAnsi" w:hAnsiTheme="minorHAnsi"/>
              </w:rPr>
              <w:t>available</w:t>
            </w:r>
            <w:r w:rsidRPr="001F22F2">
              <w:rPr>
                <w:rFonts w:asciiTheme="minorHAnsi" w:hAnsiTheme="minorHAnsi"/>
                <w:spacing w:val="-22"/>
              </w:rPr>
              <w:t xml:space="preserve"> </w:t>
            </w:r>
            <w:r w:rsidRPr="001F22F2">
              <w:rPr>
                <w:rFonts w:asciiTheme="minorHAnsi" w:hAnsiTheme="minorHAnsi"/>
              </w:rPr>
              <w:t>short-circuit</w:t>
            </w:r>
            <w:r w:rsidRPr="001F22F2">
              <w:rPr>
                <w:rFonts w:asciiTheme="minorHAnsi" w:hAnsiTheme="minorHAnsi"/>
                <w:spacing w:val="-21"/>
              </w:rPr>
              <w:t xml:space="preserve"> </w:t>
            </w:r>
            <w:r w:rsidRPr="001F22F2">
              <w:rPr>
                <w:rFonts w:asciiTheme="minorHAnsi" w:hAnsiTheme="minorHAnsi"/>
              </w:rPr>
              <w:t>current</w:t>
            </w:r>
            <w:r w:rsidRPr="001F22F2">
              <w:rPr>
                <w:rFonts w:asciiTheme="minorHAnsi" w:hAnsiTheme="minorHAnsi"/>
                <w:spacing w:val="-24"/>
              </w:rPr>
              <w:t xml:space="preserve"> </w:t>
            </w:r>
            <w:r w:rsidRPr="001F22F2">
              <w:rPr>
                <w:rFonts w:asciiTheme="minorHAnsi" w:hAnsiTheme="minorHAnsi"/>
              </w:rPr>
              <w:t>derived</w:t>
            </w:r>
            <w:r w:rsidRPr="001F22F2">
              <w:rPr>
                <w:rFonts w:asciiTheme="minorHAnsi" w:hAnsiTheme="minorHAnsi"/>
                <w:spacing w:val="-22"/>
              </w:rPr>
              <w:t xml:space="preserve"> </w:t>
            </w:r>
            <w:r w:rsidRPr="001F22F2">
              <w:rPr>
                <w:rFonts w:asciiTheme="minorHAnsi" w:hAnsiTheme="minorHAnsi"/>
              </w:rPr>
              <w:t>from</w:t>
            </w:r>
            <w:r w:rsidRPr="001F22F2">
              <w:rPr>
                <w:rFonts w:asciiTheme="minorHAnsi" w:hAnsiTheme="minorHAnsi"/>
                <w:spacing w:val="-25"/>
              </w:rPr>
              <w:t xml:space="preserve"> </w:t>
            </w:r>
            <w:r w:rsidRPr="001F22F2">
              <w:rPr>
                <w:rFonts w:asciiTheme="minorHAnsi" w:hAnsiTheme="minorHAnsi"/>
              </w:rPr>
              <w:t>the</w:t>
            </w:r>
            <w:r w:rsidRPr="001F22F2">
              <w:rPr>
                <w:rFonts w:asciiTheme="minorHAnsi" w:hAnsiTheme="minorHAnsi"/>
                <w:spacing w:val="-22"/>
              </w:rPr>
              <w:t xml:space="preserve"> </w:t>
            </w:r>
            <w:r w:rsidRPr="001F22F2">
              <w:rPr>
                <w:rFonts w:asciiTheme="minorHAnsi" w:hAnsiTheme="minorHAnsi"/>
              </w:rPr>
              <w:t>stationary</w:t>
            </w:r>
            <w:r w:rsidRPr="001F22F2">
              <w:rPr>
                <w:rFonts w:asciiTheme="minorHAnsi" w:hAnsiTheme="minorHAnsi"/>
                <w:spacing w:val="-21"/>
              </w:rPr>
              <w:t xml:space="preserve"> </w:t>
            </w:r>
            <w:r w:rsidRPr="001F22F2">
              <w:rPr>
                <w:rFonts w:asciiTheme="minorHAnsi" w:hAnsiTheme="minorHAnsi"/>
              </w:rPr>
              <w:t>battery</w:t>
            </w:r>
            <w:r w:rsidRPr="001F22F2">
              <w:rPr>
                <w:rFonts w:asciiTheme="minorHAnsi" w:hAnsiTheme="minorHAnsi"/>
                <w:spacing w:val="-23"/>
              </w:rPr>
              <w:t xml:space="preserve"> </w:t>
            </w:r>
            <w:r w:rsidRPr="001F22F2">
              <w:rPr>
                <w:rFonts w:asciiTheme="minorHAnsi" w:hAnsiTheme="minorHAnsi"/>
              </w:rPr>
              <w:t>system</w:t>
            </w:r>
          </w:p>
          <w:p w14:paraId="496ABFD7" w14:textId="77777777" w:rsidR="00A429B0" w:rsidRPr="001F22F2" w:rsidRDefault="00797687">
            <w:pPr>
              <w:pStyle w:val="TableParagraph"/>
              <w:numPr>
                <w:ilvl w:val="0"/>
                <w:numId w:val="1"/>
              </w:numPr>
              <w:tabs>
                <w:tab w:val="left" w:pos="825"/>
                <w:tab w:val="left" w:pos="826"/>
              </w:tabs>
              <w:spacing w:before="11" w:line="261" w:lineRule="exact"/>
              <w:ind w:hanging="360"/>
              <w:rPr>
                <w:rFonts w:asciiTheme="minorHAnsi" w:hAnsiTheme="minorHAnsi"/>
              </w:rPr>
            </w:pPr>
            <w:r w:rsidRPr="001F22F2">
              <w:rPr>
                <w:rFonts w:asciiTheme="minorHAnsi" w:hAnsiTheme="minorHAnsi"/>
              </w:rPr>
              <w:t>Date</w:t>
            </w:r>
            <w:r w:rsidRPr="001F22F2">
              <w:rPr>
                <w:rFonts w:asciiTheme="minorHAnsi" w:hAnsiTheme="minorHAnsi"/>
                <w:spacing w:val="-17"/>
              </w:rPr>
              <w:t xml:space="preserve"> </w:t>
            </w:r>
            <w:r w:rsidRPr="001F22F2">
              <w:rPr>
                <w:rFonts w:asciiTheme="minorHAnsi" w:hAnsiTheme="minorHAnsi"/>
              </w:rPr>
              <w:t>the</w:t>
            </w:r>
            <w:r w:rsidRPr="001F22F2">
              <w:rPr>
                <w:rFonts w:asciiTheme="minorHAnsi" w:hAnsiTheme="minorHAnsi"/>
                <w:spacing w:val="-16"/>
              </w:rPr>
              <w:t xml:space="preserve"> </w:t>
            </w:r>
            <w:r w:rsidRPr="001F22F2">
              <w:rPr>
                <w:rFonts w:asciiTheme="minorHAnsi" w:hAnsiTheme="minorHAnsi"/>
              </w:rPr>
              <w:t>calculation</w:t>
            </w:r>
            <w:r w:rsidRPr="001F22F2">
              <w:rPr>
                <w:rFonts w:asciiTheme="minorHAnsi" w:hAnsiTheme="minorHAnsi"/>
                <w:spacing w:val="-16"/>
              </w:rPr>
              <w:t xml:space="preserve"> </w:t>
            </w:r>
            <w:r w:rsidRPr="001F22F2">
              <w:rPr>
                <w:rFonts w:asciiTheme="minorHAnsi" w:hAnsiTheme="minorHAnsi"/>
              </w:rPr>
              <w:t>was</w:t>
            </w:r>
            <w:r w:rsidRPr="001F22F2">
              <w:rPr>
                <w:rFonts w:asciiTheme="minorHAnsi" w:hAnsiTheme="minorHAnsi"/>
                <w:spacing w:val="-15"/>
              </w:rPr>
              <w:t xml:space="preserve"> </w:t>
            </w:r>
            <w:r w:rsidRPr="001F22F2">
              <w:rPr>
                <w:rFonts w:asciiTheme="minorHAnsi" w:hAnsiTheme="minorHAnsi"/>
              </w:rPr>
              <w:t>performed</w:t>
            </w:r>
            <w:r w:rsidRPr="001F22F2">
              <w:rPr>
                <w:rFonts w:asciiTheme="minorHAnsi" w:hAnsiTheme="minorHAnsi"/>
                <w:spacing w:val="-15"/>
              </w:rPr>
              <w:t xml:space="preserve"> </w:t>
            </w:r>
            <w:r w:rsidRPr="001F22F2">
              <w:rPr>
                <w:rFonts w:asciiTheme="minorHAnsi" w:hAnsiTheme="minorHAnsi"/>
              </w:rPr>
              <w:t>for</w:t>
            </w:r>
            <w:r w:rsidRPr="001F22F2">
              <w:rPr>
                <w:rFonts w:asciiTheme="minorHAnsi" w:hAnsiTheme="minorHAnsi"/>
                <w:spacing w:val="-18"/>
              </w:rPr>
              <w:t xml:space="preserve"> </w:t>
            </w:r>
            <w:r w:rsidRPr="001F22F2">
              <w:rPr>
                <w:rFonts w:asciiTheme="minorHAnsi" w:hAnsiTheme="minorHAnsi"/>
              </w:rPr>
              <w:t>the</w:t>
            </w:r>
            <w:r w:rsidRPr="001F22F2">
              <w:rPr>
                <w:rFonts w:asciiTheme="minorHAnsi" w:hAnsiTheme="minorHAnsi"/>
                <w:spacing w:val="-16"/>
              </w:rPr>
              <w:t xml:space="preserve"> </w:t>
            </w:r>
            <w:r w:rsidRPr="001F22F2">
              <w:rPr>
                <w:rFonts w:asciiTheme="minorHAnsi" w:hAnsiTheme="minorHAnsi"/>
              </w:rPr>
              <w:t>value</w:t>
            </w:r>
            <w:r w:rsidRPr="001F22F2">
              <w:rPr>
                <w:rFonts w:asciiTheme="minorHAnsi" w:hAnsiTheme="minorHAnsi"/>
                <w:spacing w:val="-14"/>
              </w:rPr>
              <w:t xml:space="preserve"> </w:t>
            </w:r>
            <w:r w:rsidRPr="001F22F2">
              <w:rPr>
                <w:rFonts w:asciiTheme="minorHAnsi" w:hAnsiTheme="minorHAnsi"/>
              </w:rPr>
              <w:t>above</w:t>
            </w:r>
          </w:p>
          <w:p w14:paraId="1F4E885A" w14:textId="77777777" w:rsidR="00E2488E" w:rsidRPr="001F22F2" w:rsidRDefault="00E2488E">
            <w:pPr>
              <w:pStyle w:val="TableParagraph"/>
              <w:numPr>
                <w:ilvl w:val="0"/>
                <w:numId w:val="1"/>
              </w:numPr>
              <w:tabs>
                <w:tab w:val="left" w:pos="825"/>
                <w:tab w:val="left" w:pos="826"/>
              </w:tabs>
              <w:spacing w:before="11" w:line="261" w:lineRule="exact"/>
              <w:ind w:hanging="360"/>
              <w:rPr>
                <w:rFonts w:asciiTheme="minorHAnsi" w:hAnsiTheme="minorHAnsi"/>
              </w:rPr>
            </w:pPr>
            <w:r w:rsidRPr="001F22F2">
              <w:rPr>
                <w:rFonts w:asciiTheme="minorHAnsi" w:hAnsiTheme="minorHAnsi"/>
              </w:rPr>
              <w:t>The battery disconnecting means shall be marked in accordance with 110.16</w:t>
            </w:r>
          </w:p>
        </w:tc>
      </w:tr>
    </w:tbl>
    <w:p w14:paraId="5D88A727" w14:textId="77777777" w:rsidR="004D6420" w:rsidRPr="001F22F2" w:rsidRDefault="004D6420">
      <w:pPr>
        <w:rPr>
          <w:rFonts w:asciiTheme="minorHAnsi" w:hAnsiTheme="minorHAnsi"/>
        </w:rPr>
      </w:pPr>
    </w:p>
    <w:sectPr w:rsidR="004D6420" w:rsidRPr="001F22F2" w:rsidSect="00D3198B">
      <w:pgSz w:w="12240" w:h="15840"/>
      <w:pgMar w:top="108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32C6C"/>
    <w:multiLevelType w:val="hybridMultilevel"/>
    <w:tmpl w:val="ECE46672"/>
    <w:lvl w:ilvl="0" w:tplc="C1928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D74ED"/>
    <w:multiLevelType w:val="hybridMultilevel"/>
    <w:tmpl w:val="06D0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6709C"/>
    <w:multiLevelType w:val="hybridMultilevel"/>
    <w:tmpl w:val="9DEAA54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690F2655"/>
    <w:multiLevelType w:val="hybridMultilevel"/>
    <w:tmpl w:val="15D047C2"/>
    <w:lvl w:ilvl="0" w:tplc="C1928CF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6C844324"/>
    <w:multiLevelType w:val="hybridMultilevel"/>
    <w:tmpl w:val="E8A800CE"/>
    <w:lvl w:ilvl="0" w:tplc="C1928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F4C2B"/>
    <w:multiLevelType w:val="hybridMultilevel"/>
    <w:tmpl w:val="BF0E273A"/>
    <w:lvl w:ilvl="0" w:tplc="51AC9D40">
      <w:numFmt w:val="bullet"/>
      <w:lvlText w:val=""/>
      <w:lvlJc w:val="left"/>
      <w:pPr>
        <w:ind w:left="825" w:hanging="361"/>
      </w:pPr>
      <w:rPr>
        <w:rFonts w:ascii="Symbol" w:eastAsia="Symbol" w:hAnsi="Symbol" w:cs="Symbol" w:hint="default"/>
        <w:w w:val="100"/>
        <w:sz w:val="22"/>
        <w:szCs w:val="22"/>
        <w:lang w:val="en-US" w:eastAsia="en-US" w:bidi="en-US"/>
      </w:rPr>
    </w:lvl>
    <w:lvl w:ilvl="1" w:tplc="3AE6F6CE">
      <w:numFmt w:val="bullet"/>
      <w:lvlText w:val="•"/>
      <w:lvlJc w:val="left"/>
      <w:pPr>
        <w:ind w:left="1717" w:hanging="361"/>
      </w:pPr>
      <w:rPr>
        <w:rFonts w:hint="default"/>
        <w:lang w:val="en-US" w:eastAsia="en-US" w:bidi="en-US"/>
      </w:rPr>
    </w:lvl>
    <w:lvl w:ilvl="2" w:tplc="D79E7EC4">
      <w:numFmt w:val="bullet"/>
      <w:lvlText w:val="•"/>
      <w:lvlJc w:val="left"/>
      <w:pPr>
        <w:ind w:left="2615" w:hanging="361"/>
      </w:pPr>
      <w:rPr>
        <w:rFonts w:hint="default"/>
        <w:lang w:val="en-US" w:eastAsia="en-US" w:bidi="en-US"/>
      </w:rPr>
    </w:lvl>
    <w:lvl w:ilvl="3" w:tplc="ADDA0FD8">
      <w:numFmt w:val="bullet"/>
      <w:lvlText w:val="•"/>
      <w:lvlJc w:val="left"/>
      <w:pPr>
        <w:ind w:left="3513" w:hanging="361"/>
      </w:pPr>
      <w:rPr>
        <w:rFonts w:hint="default"/>
        <w:lang w:val="en-US" w:eastAsia="en-US" w:bidi="en-US"/>
      </w:rPr>
    </w:lvl>
    <w:lvl w:ilvl="4" w:tplc="0D1671F2">
      <w:numFmt w:val="bullet"/>
      <w:lvlText w:val="•"/>
      <w:lvlJc w:val="left"/>
      <w:pPr>
        <w:ind w:left="4411" w:hanging="361"/>
      </w:pPr>
      <w:rPr>
        <w:rFonts w:hint="default"/>
        <w:lang w:val="en-US" w:eastAsia="en-US" w:bidi="en-US"/>
      </w:rPr>
    </w:lvl>
    <w:lvl w:ilvl="5" w:tplc="C6649B18">
      <w:numFmt w:val="bullet"/>
      <w:lvlText w:val="•"/>
      <w:lvlJc w:val="left"/>
      <w:pPr>
        <w:ind w:left="5309" w:hanging="361"/>
      </w:pPr>
      <w:rPr>
        <w:rFonts w:hint="default"/>
        <w:lang w:val="en-US" w:eastAsia="en-US" w:bidi="en-US"/>
      </w:rPr>
    </w:lvl>
    <w:lvl w:ilvl="6" w:tplc="83CEEC76">
      <w:numFmt w:val="bullet"/>
      <w:lvlText w:val="•"/>
      <w:lvlJc w:val="left"/>
      <w:pPr>
        <w:ind w:left="6206" w:hanging="361"/>
      </w:pPr>
      <w:rPr>
        <w:rFonts w:hint="default"/>
        <w:lang w:val="en-US" w:eastAsia="en-US" w:bidi="en-US"/>
      </w:rPr>
    </w:lvl>
    <w:lvl w:ilvl="7" w:tplc="15768F52">
      <w:numFmt w:val="bullet"/>
      <w:lvlText w:val="•"/>
      <w:lvlJc w:val="left"/>
      <w:pPr>
        <w:ind w:left="7104" w:hanging="361"/>
      </w:pPr>
      <w:rPr>
        <w:rFonts w:hint="default"/>
        <w:lang w:val="en-US" w:eastAsia="en-US" w:bidi="en-US"/>
      </w:rPr>
    </w:lvl>
    <w:lvl w:ilvl="8" w:tplc="D96C8A1C">
      <w:numFmt w:val="bullet"/>
      <w:lvlText w:val="•"/>
      <w:lvlJc w:val="left"/>
      <w:pPr>
        <w:ind w:left="8002" w:hanging="361"/>
      </w:pPr>
      <w:rPr>
        <w:rFonts w:hint="default"/>
        <w:lang w:val="en-US" w:eastAsia="en-US" w:bidi="en-US"/>
      </w:rPr>
    </w:lvl>
  </w:abstractNum>
  <w:abstractNum w:abstractNumId="6" w15:restartNumberingAfterBreak="0">
    <w:nsid w:val="74261DD5"/>
    <w:multiLevelType w:val="hybridMultilevel"/>
    <w:tmpl w:val="561A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70FAA"/>
    <w:multiLevelType w:val="hybridMultilevel"/>
    <w:tmpl w:val="3544BAE0"/>
    <w:lvl w:ilvl="0" w:tplc="AECECA90">
      <w:start w:val="1"/>
      <w:numFmt w:val="decimal"/>
      <w:lvlText w:val="%1."/>
      <w:lvlJc w:val="left"/>
      <w:pPr>
        <w:ind w:left="825" w:hanging="361"/>
      </w:pPr>
      <w:rPr>
        <w:rFonts w:ascii="Arial" w:eastAsia="Arial" w:hAnsi="Arial" w:cs="Arial" w:hint="default"/>
        <w:w w:val="91"/>
        <w:sz w:val="22"/>
        <w:szCs w:val="22"/>
        <w:lang w:val="en-US" w:eastAsia="en-US" w:bidi="en-US"/>
      </w:rPr>
    </w:lvl>
    <w:lvl w:ilvl="1" w:tplc="AC9AFF2C">
      <w:numFmt w:val="bullet"/>
      <w:lvlText w:val="•"/>
      <w:lvlJc w:val="left"/>
      <w:pPr>
        <w:ind w:left="1717" w:hanging="361"/>
      </w:pPr>
      <w:rPr>
        <w:rFonts w:hint="default"/>
        <w:lang w:val="en-US" w:eastAsia="en-US" w:bidi="en-US"/>
      </w:rPr>
    </w:lvl>
    <w:lvl w:ilvl="2" w:tplc="CCE06586">
      <w:numFmt w:val="bullet"/>
      <w:lvlText w:val="•"/>
      <w:lvlJc w:val="left"/>
      <w:pPr>
        <w:ind w:left="2615" w:hanging="361"/>
      </w:pPr>
      <w:rPr>
        <w:rFonts w:hint="default"/>
        <w:lang w:val="en-US" w:eastAsia="en-US" w:bidi="en-US"/>
      </w:rPr>
    </w:lvl>
    <w:lvl w:ilvl="3" w:tplc="32EAA728">
      <w:numFmt w:val="bullet"/>
      <w:lvlText w:val="•"/>
      <w:lvlJc w:val="left"/>
      <w:pPr>
        <w:ind w:left="3513" w:hanging="361"/>
      </w:pPr>
      <w:rPr>
        <w:rFonts w:hint="default"/>
        <w:lang w:val="en-US" w:eastAsia="en-US" w:bidi="en-US"/>
      </w:rPr>
    </w:lvl>
    <w:lvl w:ilvl="4" w:tplc="26724656">
      <w:numFmt w:val="bullet"/>
      <w:lvlText w:val="•"/>
      <w:lvlJc w:val="left"/>
      <w:pPr>
        <w:ind w:left="4411" w:hanging="361"/>
      </w:pPr>
      <w:rPr>
        <w:rFonts w:hint="default"/>
        <w:lang w:val="en-US" w:eastAsia="en-US" w:bidi="en-US"/>
      </w:rPr>
    </w:lvl>
    <w:lvl w:ilvl="5" w:tplc="C554A536">
      <w:numFmt w:val="bullet"/>
      <w:lvlText w:val="•"/>
      <w:lvlJc w:val="left"/>
      <w:pPr>
        <w:ind w:left="5309" w:hanging="361"/>
      </w:pPr>
      <w:rPr>
        <w:rFonts w:hint="default"/>
        <w:lang w:val="en-US" w:eastAsia="en-US" w:bidi="en-US"/>
      </w:rPr>
    </w:lvl>
    <w:lvl w:ilvl="6" w:tplc="A4C8FFCC">
      <w:numFmt w:val="bullet"/>
      <w:lvlText w:val="•"/>
      <w:lvlJc w:val="left"/>
      <w:pPr>
        <w:ind w:left="6206" w:hanging="361"/>
      </w:pPr>
      <w:rPr>
        <w:rFonts w:hint="default"/>
        <w:lang w:val="en-US" w:eastAsia="en-US" w:bidi="en-US"/>
      </w:rPr>
    </w:lvl>
    <w:lvl w:ilvl="7" w:tplc="01B83B18">
      <w:numFmt w:val="bullet"/>
      <w:lvlText w:val="•"/>
      <w:lvlJc w:val="left"/>
      <w:pPr>
        <w:ind w:left="7104" w:hanging="361"/>
      </w:pPr>
      <w:rPr>
        <w:rFonts w:hint="default"/>
        <w:lang w:val="en-US" w:eastAsia="en-US" w:bidi="en-US"/>
      </w:rPr>
    </w:lvl>
    <w:lvl w:ilvl="8" w:tplc="74765E74">
      <w:numFmt w:val="bullet"/>
      <w:lvlText w:val="•"/>
      <w:lvlJc w:val="left"/>
      <w:pPr>
        <w:ind w:left="8002" w:hanging="361"/>
      </w:pPr>
      <w:rPr>
        <w:rFonts w:hint="default"/>
        <w:lang w:val="en-US" w:eastAsia="en-US" w:bidi="en-US"/>
      </w:rPr>
    </w:lvl>
  </w:abstractNum>
  <w:abstractNum w:abstractNumId="8" w15:restartNumberingAfterBreak="0">
    <w:nsid w:val="7BD44A41"/>
    <w:multiLevelType w:val="hybridMultilevel"/>
    <w:tmpl w:val="E744D982"/>
    <w:lvl w:ilvl="0" w:tplc="DE1EB8F6">
      <w:numFmt w:val="bullet"/>
      <w:lvlText w:val=""/>
      <w:lvlJc w:val="left"/>
      <w:pPr>
        <w:ind w:left="825" w:hanging="361"/>
      </w:pPr>
      <w:rPr>
        <w:rFonts w:ascii="Symbol" w:eastAsia="Symbol" w:hAnsi="Symbol" w:cs="Symbol" w:hint="default"/>
        <w:w w:val="100"/>
        <w:sz w:val="22"/>
        <w:szCs w:val="22"/>
        <w:lang w:val="en-US" w:eastAsia="en-US" w:bidi="en-US"/>
      </w:rPr>
    </w:lvl>
    <w:lvl w:ilvl="1" w:tplc="5DC6F770">
      <w:numFmt w:val="bullet"/>
      <w:lvlText w:val="•"/>
      <w:lvlJc w:val="left"/>
      <w:pPr>
        <w:ind w:left="1753" w:hanging="361"/>
      </w:pPr>
      <w:rPr>
        <w:rFonts w:hint="default"/>
        <w:lang w:val="en-US" w:eastAsia="en-US" w:bidi="en-US"/>
      </w:rPr>
    </w:lvl>
    <w:lvl w:ilvl="2" w:tplc="4836B312">
      <w:numFmt w:val="bullet"/>
      <w:lvlText w:val="•"/>
      <w:lvlJc w:val="left"/>
      <w:pPr>
        <w:ind w:left="2687" w:hanging="361"/>
      </w:pPr>
      <w:rPr>
        <w:rFonts w:hint="default"/>
        <w:lang w:val="en-US" w:eastAsia="en-US" w:bidi="en-US"/>
      </w:rPr>
    </w:lvl>
    <w:lvl w:ilvl="3" w:tplc="4322DE7A">
      <w:numFmt w:val="bullet"/>
      <w:lvlText w:val="•"/>
      <w:lvlJc w:val="left"/>
      <w:pPr>
        <w:ind w:left="3621" w:hanging="361"/>
      </w:pPr>
      <w:rPr>
        <w:rFonts w:hint="default"/>
        <w:lang w:val="en-US" w:eastAsia="en-US" w:bidi="en-US"/>
      </w:rPr>
    </w:lvl>
    <w:lvl w:ilvl="4" w:tplc="96F6DDE6">
      <w:numFmt w:val="bullet"/>
      <w:lvlText w:val="•"/>
      <w:lvlJc w:val="left"/>
      <w:pPr>
        <w:ind w:left="4555" w:hanging="361"/>
      </w:pPr>
      <w:rPr>
        <w:rFonts w:hint="default"/>
        <w:lang w:val="en-US" w:eastAsia="en-US" w:bidi="en-US"/>
      </w:rPr>
    </w:lvl>
    <w:lvl w:ilvl="5" w:tplc="79343098">
      <w:numFmt w:val="bullet"/>
      <w:lvlText w:val="•"/>
      <w:lvlJc w:val="left"/>
      <w:pPr>
        <w:ind w:left="5489" w:hanging="361"/>
      </w:pPr>
      <w:rPr>
        <w:rFonts w:hint="default"/>
        <w:lang w:val="en-US" w:eastAsia="en-US" w:bidi="en-US"/>
      </w:rPr>
    </w:lvl>
    <w:lvl w:ilvl="6" w:tplc="BCFA4F9C">
      <w:numFmt w:val="bullet"/>
      <w:lvlText w:val="•"/>
      <w:lvlJc w:val="left"/>
      <w:pPr>
        <w:ind w:left="6422" w:hanging="361"/>
      </w:pPr>
      <w:rPr>
        <w:rFonts w:hint="default"/>
        <w:lang w:val="en-US" w:eastAsia="en-US" w:bidi="en-US"/>
      </w:rPr>
    </w:lvl>
    <w:lvl w:ilvl="7" w:tplc="9984DA02">
      <w:numFmt w:val="bullet"/>
      <w:lvlText w:val="•"/>
      <w:lvlJc w:val="left"/>
      <w:pPr>
        <w:ind w:left="7356" w:hanging="361"/>
      </w:pPr>
      <w:rPr>
        <w:rFonts w:hint="default"/>
        <w:lang w:val="en-US" w:eastAsia="en-US" w:bidi="en-US"/>
      </w:rPr>
    </w:lvl>
    <w:lvl w:ilvl="8" w:tplc="0DA0193C">
      <w:numFmt w:val="bullet"/>
      <w:lvlText w:val="•"/>
      <w:lvlJc w:val="left"/>
      <w:pPr>
        <w:ind w:left="8290" w:hanging="361"/>
      </w:pPr>
      <w:rPr>
        <w:rFonts w:hint="default"/>
        <w:lang w:val="en-US" w:eastAsia="en-US" w:bidi="en-US"/>
      </w:rPr>
    </w:lvl>
  </w:abstractNum>
  <w:abstractNum w:abstractNumId="9" w15:restartNumberingAfterBreak="0">
    <w:nsid w:val="7EAA241A"/>
    <w:multiLevelType w:val="hybridMultilevel"/>
    <w:tmpl w:val="BB74EF7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9"/>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B0"/>
    <w:rsid w:val="000637EE"/>
    <w:rsid w:val="000C3AE9"/>
    <w:rsid w:val="001159CC"/>
    <w:rsid w:val="001C2CFE"/>
    <w:rsid w:val="001F22F2"/>
    <w:rsid w:val="00212F67"/>
    <w:rsid w:val="002F53C3"/>
    <w:rsid w:val="003D1781"/>
    <w:rsid w:val="004063FE"/>
    <w:rsid w:val="0040787F"/>
    <w:rsid w:val="00424B1F"/>
    <w:rsid w:val="004D1A12"/>
    <w:rsid w:val="004D6420"/>
    <w:rsid w:val="00565D6F"/>
    <w:rsid w:val="00612905"/>
    <w:rsid w:val="006623BC"/>
    <w:rsid w:val="006811DF"/>
    <w:rsid w:val="006D6386"/>
    <w:rsid w:val="007572BE"/>
    <w:rsid w:val="00760AE9"/>
    <w:rsid w:val="0077609E"/>
    <w:rsid w:val="00797687"/>
    <w:rsid w:val="007D0A26"/>
    <w:rsid w:val="007D3525"/>
    <w:rsid w:val="007D653E"/>
    <w:rsid w:val="0084479A"/>
    <w:rsid w:val="008669E2"/>
    <w:rsid w:val="008D2FBB"/>
    <w:rsid w:val="00971DBA"/>
    <w:rsid w:val="00A429B0"/>
    <w:rsid w:val="00A71C54"/>
    <w:rsid w:val="00AA5B1B"/>
    <w:rsid w:val="00BC6F43"/>
    <w:rsid w:val="00BD6C1C"/>
    <w:rsid w:val="00C46762"/>
    <w:rsid w:val="00C7550F"/>
    <w:rsid w:val="00C8408B"/>
    <w:rsid w:val="00D11EF1"/>
    <w:rsid w:val="00D3198B"/>
    <w:rsid w:val="00DE3525"/>
    <w:rsid w:val="00E03DDF"/>
    <w:rsid w:val="00E2488E"/>
    <w:rsid w:val="00E5278E"/>
    <w:rsid w:val="00EA43DE"/>
    <w:rsid w:val="00EF0EBA"/>
    <w:rsid w:val="00EF143A"/>
    <w:rsid w:val="00F000EE"/>
    <w:rsid w:val="00F02146"/>
    <w:rsid w:val="00FB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A964"/>
  <w15:docId w15:val="{B0818451-0A15-4837-A3B1-41F5DE0C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5"/>
    </w:pPr>
  </w:style>
  <w:style w:type="paragraph" w:styleId="BalloonText">
    <w:name w:val="Balloon Text"/>
    <w:basedOn w:val="Normal"/>
    <w:link w:val="BalloonTextChar"/>
    <w:uiPriority w:val="99"/>
    <w:semiHidden/>
    <w:unhideWhenUsed/>
    <w:rsid w:val="006D6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86"/>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6D6386"/>
    <w:rPr>
      <w:sz w:val="16"/>
      <w:szCs w:val="16"/>
    </w:rPr>
  </w:style>
  <w:style w:type="paragraph" w:styleId="CommentText">
    <w:name w:val="annotation text"/>
    <w:basedOn w:val="Normal"/>
    <w:link w:val="CommentTextChar"/>
    <w:uiPriority w:val="99"/>
    <w:unhideWhenUsed/>
    <w:rsid w:val="006D6386"/>
    <w:rPr>
      <w:sz w:val="20"/>
      <w:szCs w:val="20"/>
    </w:rPr>
  </w:style>
  <w:style w:type="character" w:customStyle="1" w:styleId="CommentTextChar">
    <w:name w:val="Comment Text Char"/>
    <w:basedOn w:val="DefaultParagraphFont"/>
    <w:link w:val="CommentText"/>
    <w:uiPriority w:val="99"/>
    <w:rsid w:val="006D638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D6386"/>
    <w:rPr>
      <w:b/>
      <w:bCs/>
    </w:rPr>
  </w:style>
  <w:style w:type="character" w:customStyle="1" w:styleId="CommentSubjectChar">
    <w:name w:val="Comment Subject Char"/>
    <w:basedOn w:val="CommentTextChar"/>
    <w:link w:val="CommentSubject"/>
    <w:uiPriority w:val="99"/>
    <w:semiHidden/>
    <w:rsid w:val="006D6386"/>
    <w:rPr>
      <w:rFonts w:ascii="Arial" w:eastAsia="Arial" w:hAnsi="Arial" w:cs="Arial"/>
      <w:b/>
      <w:bCs/>
      <w:sz w:val="20"/>
      <w:szCs w:val="20"/>
      <w:lang w:bidi="en-US"/>
    </w:rPr>
  </w:style>
  <w:style w:type="paragraph" w:styleId="Revision">
    <w:name w:val="Revision"/>
    <w:hidden/>
    <w:uiPriority w:val="99"/>
    <w:semiHidden/>
    <w:rsid w:val="000C3AE9"/>
    <w:pPr>
      <w:widowControl/>
      <w:autoSpaceDE/>
      <w:autoSpaceDN/>
    </w:pPr>
    <w:rPr>
      <w:rFonts w:ascii="Arial" w:eastAsia="Arial" w:hAnsi="Arial" w:cs="Arial"/>
      <w:lang w:bidi="en-US"/>
    </w:rPr>
  </w:style>
  <w:style w:type="table" w:styleId="TableGrid">
    <w:name w:val="Table Grid"/>
    <w:basedOn w:val="TableNormal"/>
    <w:uiPriority w:val="39"/>
    <w:rsid w:val="00D3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Battery Energy Storage System Inspection Checklist</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 Energy Storage System Inspection Checklist</dc:title>
  <dc:subject/>
  <dc:creator>NYSERDA</dc:creator>
  <cp:keywords>Battery Energy Storage System, Inspection Checklist</cp:keywords>
  <dc:description/>
  <cp:lastModifiedBy>Mariany, Meaghan K (NYSERDA)</cp:lastModifiedBy>
  <cp:revision>6</cp:revision>
  <dcterms:created xsi:type="dcterms:W3CDTF">2019-07-11T12:34:00Z</dcterms:created>
  <dcterms:modified xsi:type="dcterms:W3CDTF">2019-12-17T15:24:00Z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Acrobat PDFMaker 19 for Word</vt:lpwstr>
  </property>
  <property fmtid="{D5CDD505-2E9C-101B-9397-08002B2CF9AE}" pid="4" name="LastSaved">
    <vt:filetime>2019-06-14T00:00:00Z</vt:filetime>
  </property>
</Properties>
</file>