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8460" w14:textId="0E900D22" w:rsidR="00F316E3" w:rsidRPr="00F316E3" w:rsidRDefault="00415501" w:rsidP="00BE0509">
      <w:pPr>
        <w:pStyle w:val="Heading1"/>
      </w:pPr>
      <w:r>
        <w:t xml:space="preserve">Clean </w:t>
      </w:r>
      <w:r w:rsidRPr="00BE0509">
        <w:t>Energy</w:t>
      </w:r>
      <w:r w:rsidR="00B3086D">
        <w:t xml:space="preserve"> </w:t>
      </w:r>
      <w:r w:rsidR="00977DA9" w:rsidRPr="00F316E3">
        <w:t xml:space="preserve">Tax Credit Implications </w:t>
      </w:r>
      <w:r>
        <w:t>from</w:t>
      </w:r>
      <w:r w:rsidR="00F316E3" w:rsidRPr="00F316E3">
        <w:t xml:space="preserve"> the One Big Beautiful Bill Act</w:t>
      </w:r>
      <w:r w:rsidR="00F316E3">
        <w:t xml:space="preserve"> (OBBBA)</w:t>
      </w:r>
      <w:r w:rsidR="00251FCB">
        <w:t xml:space="preserve"> </w:t>
      </w:r>
    </w:p>
    <w:p w14:paraId="304BAE41" w14:textId="3A79537C" w:rsidR="00E425D2" w:rsidRDefault="00607FCC" w:rsidP="00AE76DB">
      <w:r w:rsidRPr="00054998">
        <w:t xml:space="preserve">The One Big Beautiful Bill Act (OBBBA) was </w:t>
      </w:r>
      <w:r w:rsidR="00B527F2" w:rsidRPr="00054998">
        <w:t>signed</w:t>
      </w:r>
      <w:r w:rsidRPr="00054998">
        <w:t xml:space="preserve"> </w:t>
      </w:r>
      <w:r w:rsidR="00F258C3">
        <w:t xml:space="preserve">into law </w:t>
      </w:r>
      <w:r w:rsidR="00B527F2" w:rsidRPr="00054998">
        <w:t>on</w:t>
      </w:r>
      <w:r w:rsidRPr="00054998">
        <w:t xml:space="preserve"> July 4</w:t>
      </w:r>
      <w:r w:rsidRPr="00054998">
        <w:rPr>
          <w:vertAlign w:val="superscript"/>
        </w:rPr>
        <w:t>th</w:t>
      </w:r>
      <w:r w:rsidRPr="00054998">
        <w:t>, 2025</w:t>
      </w:r>
      <w:r w:rsidR="006908D7">
        <w:t xml:space="preserve">, rescinding </w:t>
      </w:r>
      <w:r w:rsidR="00063AED">
        <w:t xml:space="preserve">or revising </w:t>
      </w:r>
      <w:r w:rsidR="006908D7">
        <w:t>some</w:t>
      </w:r>
      <w:r w:rsidR="004D41EC">
        <w:t xml:space="preserve"> programs established in the Inflation Reduction Act of 2022</w:t>
      </w:r>
      <w:r w:rsidR="00887C28">
        <w:t xml:space="preserve">. </w:t>
      </w:r>
      <w:r w:rsidR="00DF0E5B" w:rsidRPr="00054998">
        <w:t xml:space="preserve">This </w:t>
      </w:r>
      <w:r w:rsidR="00F258C3">
        <w:t>document</w:t>
      </w:r>
      <w:r w:rsidR="00F258C3" w:rsidRPr="00054998">
        <w:t xml:space="preserve"> </w:t>
      </w:r>
      <w:r w:rsidR="00DF0E5B" w:rsidRPr="00054998">
        <w:t xml:space="preserve">outlines the </w:t>
      </w:r>
      <w:r w:rsidR="007943E7" w:rsidRPr="00054998">
        <w:t xml:space="preserve">key changes </w:t>
      </w:r>
      <w:r w:rsidR="008E3D7E" w:rsidRPr="00054998">
        <w:t xml:space="preserve">to </w:t>
      </w:r>
      <w:r w:rsidR="007376A2">
        <w:t xml:space="preserve">the </w:t>
      </w:r>
      <w:r w:rsidR="008E3D7E" w:rsidRPr="00054998">
        <w:t xml:space="preserve">clean </w:t>
      </w:r>
      <w:r w:rsidR="00411F12">
        <w:t xml:space="preserve">electricity </w:t>
      </w:r>
      <w:r w:rsidR="007376A2">
        <w:t>investment tax credit (CEITC)</w:t>
      </w:r>
      <w:r w:rsidR="00A1133D" w:rsidRPr="00A1133D">
        <w:t xml:space="preserve"> </w:t>
      </w:r>
      <w:r w:rsidR="00A1133D">
        <w:t xml:space="preserve">and the </w:t>
      </w:r>
      <w:r w:rsidR="00FE44C8">
        <w:t>c</w:t>
      </w:r>
      <w:r w:rsidR="00A1133D">
        <w:t xml:space="preserve">lean </w:t>
      </w:r>
      <w:r w:rsidR="00411F12">
        <w:t xml:space="preserve">electricity </w:t>
      </w:r>
      <w:r w:rsidR="00FE44C8">
        <w:t>p</w:t>
      </w:r>
      <w:r w:rsidR="00A1133D">
        <w:t xml:space="preserve">roduction </w:t>
      </w:r>
      <w:r w:rsidR="00FE44C8">
        <w:t>t</w:t>
      </w:r>
      <w:r w:rsidR="00A1133D">
        <w:t xml:space="preserve">ax </w:t>
      </w:r>
      <w:r w:rsidR="00FE44C8">
        <w:t>c</w:t>
      </w:r>
      <w:r w:rsidR="00A1133D">
        <w:t>redit (CEPTC)</w:t>
      </w:r>
      <w:r w:rsidR="00133ECC">
        <w:t>.</w:t>
      </w:r>
      <w:r w:rsidR="00053844">
        <w:t xml:space="preserve"> </w:t>
      </w:r>
      <w:r w:rsidR="00B27628">
        <w:t>G</w:t>
      </w:r>
      <w:r w:rsidR="00E425D2">
        <w:t xml:space="preserve">eneral changes to </w:t>
      </w:r>
      <w:r w:rsidR="00857526">
        <w:t>CE</w:t>
      </w:r>
      <w:r w:rsidR="00E425D2">
        <w:t xml:space="preserve">ITC and </w:t>
      </w:r>
      <w:r w:rsidR="00857526">
        <w:t>CE</w:t>
      </w:r>
      <w:r w:rsidR="00E425D2">
        <w:t>PTC credits</w:t>
      </w:r>
      <w:r w:rsidR="00D36BD5">
        <w:t xml:space="preserve"> are </w:t>
      </w:r>
      <w:r w:rsidR="005A28EE">
        <w:t>described in the following pages.</w:t>
      </w:r>
    </w:p>
    <w:p w14:paraId="398E01FE" w14:textId="34FFA601" w:rsidR="00313240" w:rsidRPr="00054998" w:rsidRDefault="00313240" w:rsidP="00A317D1">
      <w:pPr>
        <w:spacing w:before="240"/>
      </w:pPr>
      <w:r>
        <w:rPr>
          <w:b/>
          <w:bCs/>
          <w:noProof/>
        </w:rPr>
        <w:drawing>
          <wp:inline distT="0" distB="0" distL="0" distR="0" wp14:anchorId="65F2F067" wp14:editId="27676DA1">
            <wp:extent cx="5946140" cy="6174838"/>
            <wp:effectExtent l="0" t="0" r="0" b="0"/>
            <wp:docPr id="174386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6532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46140" cy="6174838"/>
                    </a:xfrm>
                    <a:prstGeom prst="rect">
                      <a:avLst/>
                    </a:prstGeom>
                    <a:noFill/>
                    <a:ln>
                      <a:noFill/>
                    </a:ln>
                  </pic:spPr>
                </pic:pic>
              </a:graphicData>
            </a:graphic>
          </wp:inline>
        </w:drawing>
      </w:r>
    </w:p>
    <w:p w14:paraId="56FF98F5" w14:textId="425606E7" w:rsidR="00D2713A" w:rsidRDefault="00D2713A" w:rsidP="005A28EE">
      <w:pPr>
        <w:pStyle w:val="Heading2"/>
      </w:pPr>
      <w:r>
        <w:lastRenderedPageBreak/>
        <w:t>Technology-Agnostic Changes</w:t>
      </w:r>
    </w:p>
    <w:p w14:paraId="72E32AA7" w14:textId="77777777" w:rsidR="00AB556E" w:rsidRPr="00C072E1" w:rsidRDefault="00AB556E" w:rsidP="00AB556E">
      <w:pPr>
        <w:pStyle w:val="Heading3"/>
        <w:spacing w:before="0"/>
      </w:pPr>
      <w:r w:rsidRPr="00C072E1">
        <w:t>Foreign Entities of Concern (FEOC) Restrictions</w:t>
      </w:r>
    </w:p>
    <w:p w14:paraId="0FE82C1A" w14:textId="77777777" w:rsidR="00AB556E" w:rsidRDefault="00AB556E" w:rsidP="00AB556E">
      <w:r w:rsidRPr="00635C06">
        <w:t>Projects that begin construction after December 31, 2025, will be deemed ineligible for CEITC/CEPTC tax credits</w:t>
      </w:r>
      <w:r>
        <w:t xml:space="preserve"> if they do not meet the new foreign entity of concern (FEOC) restrictions:</w:t>
      </w:r>
    </w:p>
    <w:p w14:paraId="58F0966B" w14:textId="77777777" w:rsidR="00AB556E" w:rsidRPr="00FD37E4" w:rsidRDefault="00AB556E" w:rsidP="000B516E">
      <w:r w:rsidRPr="00053844">
        <w:rPr>
          <w:b/>
          <w:bCs/>
        </w:rPr>
        <w:t>Procurement:</w:t>
      </w:r>
      <w:r>
        <w:t xml:space="preserve"> Projects meet the Material Assistance Cost Ratio (MACR) threshold:</w:t>
      </w:r>
    </w:p>
    <w:p w14:paraId="20C770D2" w14:textId="77777777" w:rsidR="00AB556E" w:rsidRPr="00C54973" w:rsidRDefault="00AB556E" w:rsidP="00AB556E">
      <w:pPr>
        <w:pStyle w:val="ListParagraph2"/>
      </w:pPr>
      <m:oMath>
        <m:r>
          <w:rPr>
            <w:rFonts w:ascii="Cambria Math" w:hAnsi="Cambria Math"/>
          </w:rPr>
          <m:t>MACR</m:t>
        </m:r>
        <m:r>
          <m:rPr>
            <m:sty m:val="p"/>
          </m:rPr>
          <w:rPr>
            <w:rFonts w:ascii="Cambria Math" w:hAnsi="Cambria Math"/>
          </w:rPr>
          <m:t>=</m:t>
        </m:r>
        <m:f>
          <m:fPr>
            <m:ctrlPr>
              <w:rPr>
                <w:rFonts w:ascii="Cambria Math" w:hAnsi="Cambria Math"/>
              </w:rPr>
            </m:ctrlPr>
          </m:fPr>
          <m:num>
            <m:r>
              <w:rPr>
                <w:rFonts w:ascii="Cambria Math" w:hAnsi="Cambria Math"/>
              </w:rPr>
              <m:t>Total</m:t>
            </m:r>
            <m:r>
              <m:rPr>
                <m:sty m:val="p"/>
              </m:rPr>
              <w:rPr>
                <w:rFonts w:ascii="Cambria Math" w:hAnsi="Cambria Math"/>
              </w:rPr>
              <m:t xml:space="preserve"> </m:t>
            </m:r>
            <m:r>
              <w:rPr>
                <w:rFonts w:ascii="Cambria Math" w:hAnsi="Cambria Math"/>
              </w:rPr>
              <m:t>Cost</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Goods</m:t>
            </m:r>
            <m:r>
              <m:rPr>
                <m:sty m:val="p"/>
              </m:rPr>
              <w:rPr>
                <w:rFonts w:ascii="Cambria Math" w:hAnsi="Cambria Math"/>
              </w:rPr>
              <m:t xml:space="preserve"> - </m:t>
            </m:r>
            <m:r>
              <w:rPr>
                <w:rFonts w:ascii="Cambria Math" w:hAnsi="Cambria Math"/>
              </w:rPr>
              <m:t>Cost</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PFE</m:t>
            </m:r>
            <m:r>
              <m:rPr>
                <m:nor/>
              </m:rPr>
              <m:t>-</m:t>
            </m:r>
            <m:r>
              <w:rPr>
                <w:rFonts w:ascii="Cambria Math" w:hAnsi="Cambria Math"/>
              </w:rPr>
              <m:t>Sourced</m:t>
            </m:r>
            <m:r>
              <m:rPr>
                <m:sty m:val="p"/>
              </m:rPr>
              <w:rPr>
                <w:rFonts w:ascii="Cambria Math" w:hAnsi="Cambria Math"/>
              </w:rPr>
              <m:t xml:space="preserve"> </m:t>
            </m:r>
            <m:r>
              <w:rPr>
                <w:rFonts w:ascii="Cambria Math" w:hAnsi="Cambria Math"/>
              </w:rPr>
              <m:t>Goods</m:t>
            </m:r>
          </m:num>
          <m:den>
            <m:r>
              <w:rPr>
                <w:rFonts w:ascii="Cambria Math" w:hAnsi="Cambria Math"/>
              </w:rPr>
              <m:t>Total</m:t>
            </m:r>
            <m:r>
              <m:rPr>
                <m:sty m:val="p"/>
              </m:rPr>
              <w:rPr>
                <w:rFonts w:ascii="Cambria Math" w:hAnsi="Cambria Math"/>
              </w:rPr>
              <m:t xml:space="preserve"> </m:t>
            </m:r>
            <m:r>
              <w:rPr>
                <w:rFonts w:ascii="Cambria Math" w:hAnsi="Cambria Math"/>
              </w:rPr>
              <m:t>Cost</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Goods</m:t>
            </m:r>
            <m:r>
              <m:rPr>
                <m:sty m:val="p"/>
              </m:rPr>
              <w:rPr>
                <w:rFonts w:ascii="Cambria Math" w:hAnsi="Cambria Math"/>
              </w:rPr>
              <m:t xml:space="preserve"> </m:t>
            </m:r>
          </m:den>
        </m:f>
      </m:oMath>
    </w:p>
    <w:p w14:paraId="1E3FFBFD" w14:textId="5134E882" w:rsidR="00AB556E" w:rsidRPr="00C54973" w:rsidRDefault="00AB556E" w:rsidP="00AB556E">
      <w:pPr>
        <w:pStyle w:val="ListParagraph2"/>
      </w:pPr>
      <w:r w:rsidRPr="00053844">
        <w:t>Projects</w:t>
      </w:r>
      <w:r w:rsidRPr="00C54973">
        <w:t xml:space="preserve"> must exceed the MACR thresholds defined for each technology and start date of construction.</w:t>
      </w:r>
      <w:r w:rsidRPr="00BB244D">
        <w:rPr>
          <w:rStyle w:val="FootnoteReference"/>
          <w:sz w:val="20"/>
          <w:szCs w:val="20"/>
        </w:rPr>
        <w:t xml:space="preserve"> </w:t>
      </w:r>
      <w:r w:rsidR="00DD409D">
        <w:rPr>
          <w:rStyle w:val="FootnoteReference"/>
          <w:sz w:val="20"/>
          <w:szCs w:val="20"/>
        </w:rPr>
        <w:footnoteReference w:id="2"/>
      </w:r>
    </w:p>
    <w:p w14:paraId="17B2C845" w14:textId="2DD714DF" w:rsidR="00AB556E" w:rsidRPr="00AF57F9" w:rsidRDefault="00AB556E" w:rsidP="000B516E">
      <w:r w:rsidRPr="00053844">
        <w:rPr>
          <w:b/>
          <w:bCs/>
        </w:rPr>
        <w:t>Ownership:</w:t>
      </w:r>
      <w:r w:rsidRPr="00052368">
        <w:t xml:space="preserve"> The project taxpayer cannot be a </w:t>
      </w:r>
      <w:r w:rsidRPr="00053844">
        <w:rPr>
          <w:b/>
          <w:bCs/>
        </w:rPr>
        <w:t>Prohibited Foreign Entity (PFE)</w:t>
      </w:r>
      <w:r w:rsidRPr="00052368">
        <w:t>.</w:t>
      </w:r>
      <w:r>
        <w:t xml:space="preserve"> PFEs</w:t>
      </w:r>
      <w:r w:rsidRPr="00AF57F9">
        <w:t xml:space="preserve"> are entities</w:t>
      </w:r>
      <w:r w:rsidR="0002366E">
        <w:t xml:space="preserve"> (e.g. individuals, organizations, or businesses)</w:t>
      </w:r>
      <w:r w:rsidRPr="00AF57F9">
        <w:t xml:space="preserve"> that are tied to adversarial nations to the United States, and </w:t>
      </w:r>
      <w:r w:rsidR="007C3E45">
        <w:t xml:space="preserve">is </w:t>
      </w:r>
      <w:r w:rsidRPr="00AF57F9">
        <w:t>comprise</w:t>
      </w:r>
      <w:r w:rsidR="007C3E45">
        <w:t>d</w:t>
      </w:r>
      <w:r w:rsidRPr="00AF57F9">
        <w:t xml:space="preserve"> of:</w:t>
      </w:r>
    </w:p>
    <w:p w14:paraId="40B9AAC0" w14:textId="2285C535" w:rsidR="00AB556E" w:rsidRPr="00AF57F9" w:rsidRDefault="00AB556E" w:rsidP="00AB556E">
      <w:pPr>
        <w:pStyle w:val="ListParagraph2"/>
      </w:pPr>
      <w:r w:rsidRPr="00AD5759">
        <w:rPr>
          <w:b/>
          <w:bCs/>
        </w:rPr>
        <w:t>Specified Foreign Entities (SFE)</w:t>
      </w:r>
      <w:r w:rsidRPr="00AF57F9">
        <w:t xml:space="preserve"> </w:t>
      </w:r>
      <w:r w:rsidR="00A14A3B">
        <w:t>refers to</w:t>
      </w:r>
      <w:r w:rsidRPr="00AF57F9">
        <w:t xml:space="preserve"> entities that are identified as national security risk, including but not limited to: entities designated as foreign terrorist organizations; entities with ties to covered nations (North Korea, China, Russia and Iran); and entities involved in activities resulting to national security convections. </w:t>
      </w:r>
    </w:p>
    <w:p w14:paraId="2418527E" w14:textId="55BCA718" w:rsidR="00EB711B" w:rsidRPr="00AF76F0" w:rsidRDefault="00AB556E" w:rsidP="00EB711B">
      <w:pPr>
        <w:pStyle w:val="ListParagraph2"/>
        <w:rPr>
          <w:b/>
          <w:bCs/>
        </w:rPr>
      </w:pPr>
      <w:r w:rsidRPr="006327A6">
        <w:rPr>
          <w:b/>
          <w:bCs/>
        </w:rPr>
        <w:t>Foreign Influenced Entities (FIE)</w:t>
      </w:r>
      <w:r w:rsidRPr="00AF57F9">
        <w:t xml:space="preserve"> are entities that have a certain legal and financial control by an SFE, including but not limited to: entities with significant ownership by SFEs (at least 25% from a single SFE and/or at least 40% from multiple SFEs); entities under effective control by an SFE; entities with over 15% of its debt owned by SFEs; and entities where SFEs have the authority to appoint covered officers. Effective control occurs when SFEs provide payments to the entity that grant them authority over component selection, energy production, and energy storage.</w:t>
      </w:r>
    </w:p>
    <w:p w14:paraId="2A76F3BA" w14:textId="2A932A10" w:rsidR="00DD409D" w:rsidRDefault="00DD409D" w:rsidP="00595D93">
      <w:pPr>
        <w:pStyle w:val="Heading3"/>
        <w:spacing w:before="0"/>
      </w:pPr>
      <w:r w:rsidRPr="00A81D17">
        <w:t>Domestic Content Bonus Credit Thresholds</w:t>
      </w:r>
    </w:p>
    <w:p w14:paraId="51FCCD11" w14:textId="5D1B9838" w:rsidR="00FB2C67" w:rsidRDefault="00016B65" w:rsidP="00595D93">
      <w:pPr>
        <w:keepNext/>
      </w:pPr>
      <w:r>
        <w:rPr>
          <w:noProof/>
        </w:rPr>
        <w:drawing>
          <wp:anchor distT="0" distB="0" distL="114300" distR="114300" simplePos="0" relativeHeight="251658240" behindDoc="0" locked="0" layoutInCell="1" allowOverlap="1" wp14:anchorId="43C914B8" wp14:editId="6DC48677">
            <wp:simplePos x="0" y="0"/>
            <wp:positionH relativeFrom="margin">
              <wp:posOffset>1607185</wp:posOffset>
            </wp:positionH>
            <wp:positionV relativeFrom="paragraph">
              <wp:posOffset>46355</wp:posOffset>
            </wp:positionV>
            <wp:extent cx="4342765" cy="2513965"/>
            <wp:effectExtent l="0" t="0" r="0" b="0"/>
            <wp:wrapSquare wrapText="bothSides"/>
            <wp:docPr id="1077842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42258"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342765" cy="2513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409D" w:rsidRPr="004074DF">
        <w:t xml:space="preserve">The graphic below shows the minimum domestic content threshold percentages </w:t>
      </w:r>
      <w:r w:rsidR="002E5E19">
        <w:t xml:space="preserve">for </w:t>
      </w:r>
      <w:r w:rsidR="00A554DD">
        <w:t xml:space="preserve">manufactured </w:t>
      </w:r>
      <w:r w:rsidR="00C41A3F">
        <w:t xml:space="preserve">products </w:t>
      </w:r>
      <w:r w:rsidR="00DD409D" w:rsidRPr="004074DF">
        <w:t xml:space="preserve">needed </w:t>
      </w:r>
      <w:r w:rsidR="0078216D" w:rsidRPr="004074DF">
        <w:t>to receive CEITC and CEPTC bonus</w:t>
      </w:r>
      <w:r w:rsidR="0078216D">
        <w:t xml:space="preserve"> credits</w:t>
      </w:r>
      <w:r w:rsidR="0078216D" w:rsidRPr="004074DF">
        <w:t xml:space="preserve"> </w:t>
      </w:r>
      <w:r w:rsidR="0078216D">
        <w:t>based on the</w:t>
      </w:r>
      <w:r w:rsidR="00DD409D" w:rsidRPr="004074DF">
        <w:t xml:space="preserve"> start </w:t>
      </w:r>
      <w:r w:rsidR="00C66F87">
        <w:t>of construction</w:t>
      </w:r>
      <w:r w:rsidR="00DD409D" w:rsidRPr="004074DF">
        <w:t>.</w:t>
      </w:r>
    </w:p>
    <w:p w14:paraId="56E0AC8D" w14:textId="349E2295" w:rsidR="00FB2C67" w:rsidRDefault="00FB2C67" w:rsidP="00D11C13">
      <w:pPr>
        <w:tabs>
          <w:tab w:val="left" w:pos="2403"/>
        </w:tabs>
      </w:pPr>
    </w:p>
    <w:p w14:paraId="4180B507" w14:textId="43628AAD" w:rsidR="00046703" w:rsidRDefault="001E4DF8" w:rsidP="002E4870">
      <w:pPr>
        <w:pStyle w:val="Heading2"/>
      </w:pPr>
      <w:r w:rsidRPr="002E4870">
        <w:rPr>
          <w:rStyle w:val="Heading2Char"/>
          <w:b/>
        </w:rPr>
        <w:lastRenderedPageBreak/>
        <w:t>Technology</w:t>
      </w:r>
      <w:r w:rsidRPr="002E4870">
        <w:t>-</w:t>
      </w:r>
      <w:r w:rsidR="00054998" w:rsidRPr="002E4870">
        <w:t xml:space="preserve">Specific </w:t>
      </w:r>
      <w:r w:rsidRPr="002E4870">
        <w:t>Changes</w:t>
      </w:r>
    </w:p>
    <w:p w14:paraId="4FBCB731" w14:textId="12C1152D" w:rsidR="001D39BC" w:rsidRDefault="001D39BC" w:rsidP="001D39BC">
      <w:r>
        <w:t xml:space="preserve">The OBBBA contains provisions that are specific to the credit value available, financing conditions, emission standards, and phaseout for different clean energy technologies. A summary of key technology-specific changes is contained in the following table. </w:t>
      </w:r>
    </w:p>
    <w:p w14:paraId="635AD907" w14:textId="1539D023" w:rsidR="00B865C7" w:rsidRPr="00046703" w:rsidRDefault="00780B40" w:rsidP="006A6969">
      <w:r>
        <w:t xml:space="preserve">Solar and wind projects experience the greatest changes from the OBBBA. Projects that do not begin construction prior to July 4, </w:t>
      </w:r>
      <w:proofErr w:type="gramStart"/>
      <w:r>
        <w:t>2026</w:t>
      </w:r>
      <w:proofErr w:type="gramEnd"/>
      <w:r>
        <w:t xml:space="preserve"> must be placed in service by December 31, </w:t>
      </w:r>
      <w:proofErr w:type="gramStart"/>
      <w:r>
        <w:t>2027</w:t>
      </w:r>
      <w:proofErr w:type="gramEnd"/>
      <w:r>
        <w:t xml:space="preserve"> </w:t>
      </w:r>
      <w:proofErr w:type="gramStart"/>
      <w:r>
        <w:t>in order to</w:t>
      </w:r>
      <w:proofErr w:type="gramEnd"/>
      <w:r>
        <w:t xml:space="preserve"> qualify for the CEITC or CEPTC. Solar and wind projects exceeding 1.5 megawatts (MW), measured in alternating current, beginning construction after September 1, </w:t>
      </w:r>
      <w:proofErr w:type="gramStart"/>
      <w:r>
        <w:t>2025</w:t>
      </w:r>
      <w:proofErr w:type="gramEnd"/>
      <w:r>
        <w:t xml:space="preserve"> must rely on the Physical Work Test to determine the start of construction.</w:t>
      </w:r>
      <w:r w:rsidR="004C0AE2">
        <w:rPr>
          <w:rStyle w:val="FootnoteReference"/>
        </w:rPr>
        <w:footnoteReference w:id="3"/>
      </w:r>
      <w:r w:rsidR="004C0AE2">
        <w:rPr>
          <w:rStyle w:val="FootnoteReference"/>
        </w:rPr>
        <w:t xml:space="preserve"> </w:t>
      </w:r>
      <w:r>
        <w:t xml:space="preserve">Both on-site and off-site work will be considered when the IRS evaluates whether the Physical Work Test requirements have been met. Off-site work includes the manufacturing of required components and will be recognized </w:t>
      </w:r>
      <w:r w:rsidR="00395EC5">
        <w:t>if</w:t>
      </w:r>
      <w:r>
        <w:t xml:space="preserve"> the work is being done in accordance with a binding written contract and components are not stored in a manufacturer’s inventory. Preliminary activities such as design, planning</w:t>
      </w:r>
      <w:proofErr w:type="gramStart"/>
      <w:r>
        <w:t>,</w:t>
      </w:r>
      <w:r w:rsidR="00745ED4">
        <w:t xml:space="preserve"> </w:t>
      </w:r>
      <w:r>
        <w:t>geotechnical</w:t>
      </w:r>
      <w:proofErr w:type="gramEnd"/>
      <w:r>
        <w:t xml:space="preserve"> work, removing existing equipment at the site, and site clearing will not be considered eligible on-site work. Once construction begins, projects must demonstrate continuous progress on construction</w:t>
      </w:r>
      <w:r>
        <w:rPr>
          <w:rStyle w:val="FootnoteReference"/>
        </w:rPr>
        <w:footnoteReference w:id="4"/>
      </w:r>
      <w:r>
        <w:t xml:space="preserve"> or be placed in service within four calendar years to remain eligible for clean energy credits. </w:t>
      </w:r>
    </w:p>
    <w:tbl>
      <w:tblPr>
        <w:tblStyle w:val="TableGrid"/>
        <w:tblW w:w="101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99"/>
        <w:gridCol w:w="4255"/>
        <w:gridCol w:w="593"/>
        <w:gridCol w:w="4718"/>
      </w:tblGrid>
      <w:tr w:rsidR="009D1B61" w14:paraId="0D6B0B94" w14:textId="3D984B8D" w:rsidTr="004D1230">
        <w:tc>
          <w:tcPr>
            <w:tcW w:w="625" w:type="dxa"/>
            <w:tcBorders>
              <w:top w:val="single" w:sz="4" w:space="0" w:color="006EA0" w:themeColor="accent1"/>
              <w:right w:val="single" w:sz="4" w:space="0" w:color="006EA0" w:themeColor="accent1"/>
            </w:tcBorders>
            <w:shd w:val="clear" w:color="auto" w:fill="006EA0" w:themeFill="accent1"/>
            <w:vAlign w:val="center"/>
          </w:tcPr>
          <w:p w14:paraId="6CBFDB12" w14:textId="2988D379" w:rsidR="001E015D" w:rsidRDefault="001E015D">
            <w:pPr>
              <w:spacing w:after="0"/>
              <w:jc w:val="right"/>
              <w:rPr>
                <w:b/>
                <w:noProof/>
                <w:color w:val="FFFFFF" w:themeColor="background1"/>
              </w:rPr>
            </w:pPr>
            <w:r>
              <w:rPr>
                <w:b/>
                <w:noProof/>
                <w:color w:val="FFFFFF" w:themeColor="background1"/>
              </w:rPr>
              <w:drawing>
                <wp:inline distT="0" distB="0" distL="0" distR="0" wp14:anchorId="6C7BE9B9" wp14:editId="29A7C9C8">
                  <wp:extent cx="274320" cy="274320"/>
                  <wp:effectExtent l="0" t="0" r="0" b="0"/>
                  <wp:docPr id="72700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tc>
        <w:tc>
          <w:tcPr>
            <w:tcW w:w="4500" w:type="dxa"/>
            <w:tcBorders>
              <w:top w:val="single" w:sz="4" w:space="0" w:color="006EA0" w:themeColor="accent1"/>
              <w:right w:val="single" w:sz="4" w:space="0" w:color="006EA0" w:themeColor="accent1"/>
            </w:tcBorders>
            <w:shd w:val="clear" w:color="auto" w:fill="006EA0" w:themeFill="accent1"/>
            <w:vAlign w:val="center"/>
          </w:tcPr>
          <w:p w14:paraId="60F0B560" w14:textId="11B31A50" w:rsidR="009D1B61" w:rsidRPr="00095C5B" w:rsidRDefault="009D1B61" w:rsidP="004D1230">
            <w:pPr>
              <w:spacing w:after="0"/>
              <w:rPr>
                <w:b/>
                <w:color w:val="FFFFFF" w:themeColor="background1"/>
              </w:rPr>
            </w:pPr>
            <w:r w:rsidRPr="00095C5B">
              <w:rPr>
                <w:b/>
                <w:color w:val="FFFFFF" w:themeColor="background1"/>
              </w:rPr>
              <w:t xml:space="preserve">Examples of Physical Work of a Significant Nature for </w:t>
            </w:r>
            <w:r w:rsidRPr="005E53BE">
              <w:rPr>
                <w:b/>
                <w:color w:val="FFFFFF" w:themeColor="background1"/>
                <w:u w:val="single"/>
              </w:rPr>
              <w:t>Solar Facilities</w:t>
            </w:r>
          </w:p>
        </w:tc>
        <w:tc>
          <w:tcPr>
            <w:tcW w:w="619" w:type="dxa"/>
            <w:tcBorders>
              <w:top w:val="single" w:sz="4" w:space="0" w:color="006EA0" w:themeColor="accent1"/>
              <w:right w:val="single" w:sz="4" w:space="0" w:color="006EA0" w:themeColor="accent1"/>
            </w:tcBorders>
            <w:shd w:val="clear" w:color="auto" w:fill="006EA0" w:themeFill="accent1"/>
            <w:vAlign w:val="center"/>
          </w:tcPr>
          <w:p w14:paraId="45BE6868" w14:textId="713AD4C9" w:rsidR="001E015D" w:rsidRDefault="001E015D">
            <w:pPr>
              <w:spacing w:after="0"/>
              <w:jc w:val="right"/>
              <w:rPr>
                <w:b/>
                <w:noProof/>
                <w:color w:val="FFFFFF" w:themeColor="background1"/>
              </w:rPr>
            </w:pPr>
            <w:r>
              <w:rPr>
                <w:b/>
                <w:noProof/>
                <w:color w:val="FFFFFF" w:themeColor="background1"/>
              </w:rPr>
              <w:drawing>
                <wp:inline distT="0" distB="0" distL="0" distR="0" wp14:anchorId="3DDC846C" wp14:editId="4DCC1754">
                  <wp:extent cx="304800" cy="304800"/>
                  <wp:effectExtent l="0" t="0" r="0" b="0"/>
                  <wp:docPr id="841412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421" w:type="dxa"/>
            <w:tcBorders>
              <w:top w:val="single" w:sz="4" w:space="0" w:color="006EA0" w:themeColor="accent1"/>
              <w:right w:val="single" w:sz="4" w:space="0" w:color="006EA0" w:themeColor="accent1"/>
            </w:tcBorders>
            <w:shd w:val="clear" w:color="auto" w:fill="006EA0" w:themeFill="accent1"/>
          </w:tcPr>
          <w:p w14:paraId="16973D36" w14:textId="0C54FA92" w:rsidR="009D1B61" w:rsidRPr="00095C5B" w:rsidRDefault="009D1B61" w:rsidP="004D1230">
            <w:pPr>
              <w:spacing w:after="0"/>
              <w:rPr>
                <w:b/>
                <w:color w:val="FFFFFF" w:themeColor="background1"/>
              </w:rPr>
            </w:pPr>
            <w:r w:rsidRPr="00095C5B">
              <w:rPr>
                <w:b/>
                <w:color w:val="FFFFFF" w:themeColor="background1"/>
              </w:rPr>
              <w:t xml:space="preserve">Examples of Physical Work of a Significant Nature for </w:t>
            </w:r>
            <w:r w:rsidRPr="00CD2322">
              <w:rPr>
                <w:b/>
                <w:color w:val="FFFFFF" w:themeColor="background1"/>
                <w:u w:val="single"/>
              </w:rPr>
              <w:t>Wind Facilities</w:t>
            </w:r>
          </w:p>
        </w:tc>
      </w:tr>
      <w:tr w:rsidR="009D1B61" w14:paraId="596818B2" w14:textId="356C8AF0" w:rsidTr="004D1230">
        <w:tc>
          <w:tcPr>
            <w:tcW w:w="10150" w:type="dxa"/>
            <w:gridSpan w:val="4"/>
            <w:tcBorders>
              <w:left w:val="single" w:sz="4" w:space="0" w:color="006EA0" w:themeColor="accent1"/>
              <w:bottom w:val="single" w:sz="4" w:space="0" w:color="006EA0" w:themeColor="accent1"/>
              <w:right w:val="single" w:sz="4" w:space="0" w:color="006EA0" w:themeColor="accent1"/>
            </w:tcBorders>
            <w:shd w:val="clear" w:color="auto" w:fill="E5EFF4"/>
          </w:tcPr>
          <w:p w14:paraId="201AF92C" w14:textId="6DDA0E3A" w:rsidR="009D1B61" w:rsidRDefault="009D1B61" w:rsidP="00655BBE">
            <w:pPr>
              <w:spacing w:after="0"/>
              <w:jc w:val="center"/>
              <w:rPr>
                <w:b/>
                <w:bCs/>
              </w:rPr>
            </w:pPr>
            <w:r>
              <w:rPr>
                <w:b/>
                <w:bCs/>
              </w:rPr>
              <w:t>On-Site Activities</w:t>
            </w:r>
          </w:p>
        </w:tc>
      </w:tr>
      <w:tr w:rsidR="009D1B61" w14:paraId="6FF07AAA" w14:textId="35C8235D" w:rsidTr="004D1230">
        <w:trPr>
          <w:trHeight w:val="582"/>
        </w:trPr>
        <w:tc>
          <w:tcPr>
            <w:tcW w:w="5160" w:type="dxa"/>
            <w:gridSpan w:val="3"/>
            <w:tcBorders>
              <w:top w:val="single" w:sz="4" w:space="0" w:color="006EA0" w:themeColor="accent1"/>
              <w:left w:val="single" w:sz="4" w:space="0" w:color="006EA0" w:themeColor="accent1"/>
              <w:bottom w:val="single" w:sz="4" w:space="0" w:color="006EA0" w:themeColor="accent1"/>
              <w:right w:val="single" w:sz="4" w:space="0" w:color="006EA0" w:themeColor="accent1"/>
            </w:tcBorders>
            <w:vAlign w:val="center"/>
          </w:tcPr>
          <w:p w14:paraId="7EB1394F" w14:textId="0D5E8680" w:rsidR="009D1B61" w:rsidRDefault="009D1B61" w:rsidP="009D1B61">
            <w:pPr>
              <w:spacing w:after="0"/>
              <w:jc w:val="center"/>
            </w:pPr>
            <w:r>
              <w:t xml:space="preserve">Installation of Racks </w:t>
            </w:r>
            <w:r>
              <w:br/>
              <w:t>to Affix Photovoltaic Panels to a Site</w:t>
            </w:r>
          </w:p>
        </w:tc>
        <w:tc>
          <w:tcPr>
            <w:tcW w:w="4990" w:type="dxa"/>
            <w:tcBorders>
              <w:top w:val="single" w:sz="4" w:space="0" w:color="006EA0" w:themeColor="accent1"/>
              <w:left w:val="single" w:sz="4" w:space="0" w:color="006EA0" w:themeColor="accent1"/>
              <w:bottom w:val="single" w:sz="4" w:space="0" w:color="006EA0" w:themeColor="accent1"/>
              <w:right w:val="single" w:sz="4" w:space="0" w:color="006EA0" w:themeColor="accent1"/>
            </w:tcBorders>
            <w:vAlign w:val="center"/>
          </w:tcPr>
          <w:p w14:paraId="5A0184AB" w14:textId="18E1EB41" w:rsidR="009D1B61" w:rsidRDefault="009D1B61" w:rsidP="009D1B61">
            <w:pPr>
              <w:spacing w:after="0"/>
              <w:jc w:val="center"/>
            </w:pPr>
            <w:r>
              <w:t>Excavation for the Foundation</w:t>
            </w:r>
          </w:p>
        </w:tc>
      </w:tr>
      <w:tr w:rsidR="009D1B61" w14:paraId="39BBDA01" w14:textId="7AAAA9AC" w:rsidTr="004D1230">
        <w:trPr>
          <w:trHeight w:val="582"/>
        </w:trPr>
        <w:tc>
          <w:tcPr>
            <w:tcW w:w="5160" w:type="dxa"/>
            <w:gridSpan w:val="3"/>
            <w:tcBorders>
              <w:top w:val="single" w:sz="4" w:space="0" w:color="006EA0" w:themeColor="accent1"/>
              <w:left w:val="single" w:sz="4" w:space="0" w:color="006EA0" w:themeColor="accent1"/>
              <w:bottom w:val="single" w:sz="4" w:space="0" w:color="006EA0" w:themeColor="accent1"/>
              <w:right w:val="single" w:sz="4" w:space="0" w:color="006EA0" w:themeColor="accent1"/>
            </w:tcBorders>
            <w:vAlign w:val="center"/>
          </w:tcPr>
          <w:p w14:paraId="283CA612" w14:textId="27F9F49C" w:rsidR="009D1B61" w:rsidRDefault="009D1B61" w:rsidP="009D1B61">
            <w:pPr>
              <w:spacing w:after="0"/>
              <w:jc w:val="center"/>
            </w:pPr>
            <w:r>
              <w:t xml:space="preserve">Installation of Structures </w:t>
            </w:r>
            <w:r>
              <w:br/>
              <w:t>to Affix Collectors and/ or Solar Cells to a Site</w:t>
            </w:r>
          </w:p>
        </w:tc>
        <w:tc>
          <w:tcPr>
            <w:tcW w:w="4990" w:type="dxa"/>
            <w:tcBorders>
              <w:top w:val="single" w:sz="4" w:space="0" w:color="006EA0" w:themeColor="accent1"/>
              <w:left w:val="single" w:sz="4" w:space="0" w:color="006EA0" w:themeColor="accent1"/>
              <w:bottom w:val="single" w:sz="4" w:space="0" w:color="006EA0" w:themeColor="accent1"/>
              <w:right w:val="single" w:sz="4" w:space="0" w:color="006EA0" w:themeColor="accent1"/>
            </w:tcBorders>
            <w:vAlign w:val="center"/>
          </w:tcPr>
          <w:p w14:paraId="003C1F67" w14:textId="2E0AEE70" w:rsidR="009D1B61" w:rsidRDefault="009D1B61" w:rsidP="009D1B61">
            <w:pPr>
              <w:spacing w:after="0"/>
              <w:jc w:val="center"/>
            </w:pPr>
            <w:r>
              <w:t>Setting of Anchor Bolts into the Ground</w:t>
            </w:r>
          </w:p>
        </w:tc>
      </w:tr>
      <w:tr w:rsidR="009D1B61" w14:paraId="4491CDF6" w14:textId="6CEEAD0F" w:rsidTr="004D1230">
        <w:trPr>
          <w:trHeight w:val="582"/>
        </w:trPr>
        <w:tc>
          <w:tcPr>
            <w:tcW w:w="5160" w:type="dxa"/>
            <w:gridSpan w:val="3"/>
            <w:tcBorders>
              <w:top w:val="single" w:sz="4" w:space="0" w:color="006EA0" w:themeColor="accent1"/>
              <w:left w:val="single" w:sz="4" w:space="0" w:color="006EA0" w:themeColor="accent1"/>
              <w:right w:val="single" w:sz="4" w:space="0" w:color="006EA0" w:themeColor="accent1"/>
            </w:tcBorders>
            <w:vAlign w:val="center"/>
          </w:tcPr>
          <w:p w14:paraId="3B6FA175" w14:textId="61B64FC8" w:rsidR="009D1B61" w:rsidRPr="004D1802" w:rsidRDefault="004D1802" w:rsidP="009D1B61">
            <w:pPr>
              <w:spacing w:after="0"/>
              <w:jc w:val="center"/>
            </w:pPr>
            <w:r w:rsidRPr="004D1230">
              <w:t>Constructi</w:t>
            </w:r>
            <w:r w:rsidR="00150F79">
              <w:t>on of</w:t>
            </w:r>
            <w:r>
              <w:t xml:space="preserve"> </w:t>
            </w:r>
            <w:r w:rsidR="00150F79">
              <w:t>A</w:t>
            </w:r>
            <w:r>
              <w:t xml:space="preserve">ccess </w:t>
            </w:r>
            <w:r w:rsidR="00150F79">
              <w:t>R</w:t>
            </w:r>
            <w:r>
              <w:t xml:space="preserve">oads </w:t>
            </w:r>
            <w:r w:rsidR="00150F79">
              <w:t>or D</w:t>
            </w:r>
            <w:r>
              <w:t xml:space="preserve">rainage </w:t>
            </w:r>
            <w:r w:rsidR="00150F79">
              <w:t>D</w:t>
            </w:r>
            <w:r>
              <w:t>itches</w:t>
            </w:r>
          </w:p>
        </w:tc>
        <w:tc>
          <w:tcPr>
            <w:tcW w:w="4990" w:type="dxa"/>
            <w:tcBorders>
              <w:top w:val="single" w:sz="4" w:space="0" w:color="006EA0" w:themeColor="accent1"/>
              <w:left w:val="single" w:sz="4" w:space="0" w:color="006EA0" w:themeColor="accent1"/>
              <w:right w:val="single" w:sz="4" w:space="0" w:color="006EA0" w:themeColor="accent1"/>
            </w:tcBorders>
            <w:vAlign w:val="center"/>
          </w:tcPr>
          <w:p w14:paraId="1B72083F" w14:textId="7469FFA6" w:rsidR="009D1B61" w:rsidRPr="009D1B61" w:rsidRDefault="009D1B61" w:rsidP="009D1B61">
            <w:pPr>
              <w:spacing w:after="0"/>
              <w:jc w:val="center"/>
              <w:rPr>
                <w:strike/>
              </w:rPr>
            </w:pPr>
            <w:r>
              <w:t>Pouring of Concrete Pads for the Foundation</w:t>
            </w:r>
          </w:p>
        </w:tc>
      </w:tr>
      <w:tr w:rsidR="009D1B61" w14:paraId="7495AC5E" w14:textId="56069275" w:rsidTr="004D1230">
        <w:tc>
          <w:tcPr>
            <w:tcW w:w="10150" w:type="dxa"/>
            <w:gridSpan w:val="4"/>
            <w:tcBorders>
              <w:top w:val="single" w:sz="4" w:space="0" w:color="006EA0" w:themeColor="accent1"/>
              <w:left w:val="single" w:sz="4" w:space="0" w:color="006EA0" w:themeColor="accent1"/>
              <w:bottom w:val="single" w:sz="4" w:space="0" w:color="006EA0" w:themeColor="accent1"/>
              <w:right w:val="single" w:sz="4" w:space="0" w:color="006EA0" w:themeColor="accent1"/>
            </w:tcBorders>
            <w:shd w:val="clear" w:color="auto" w:fill="E5EFF4"/>
          </w:tcPr>
          <w:p w14:paraId="552D6DD7" w14:textId="0D85380B" w:rsidR="009D1B61" w:rsidRPr="00C40998" w:rsidRDefault="009D1B61" w:rsidP="00655BBE">
            <w:pPr>
              <w:spacing w:after="0"/>
              <w:jc w:val="center"/>
              <w:rPr>
                <w:b/>
                <w:bCs/>
              </w:rPr>
            </w:pPr>
            <w:r w:rsidRPr="00C40998">
              <w:rPr>
                <w:b/>
                <w:bCs/>
              </w:rPr>
              <w:t>Off-Site Activities</w:t>
            </w:r>
          </w:p>
        </w:tc>
      </w:tr>
      <w:tr w:rsidR="009D1B61" w14:paraId="6B9AFB54" w14:textId="2B335D60" w:rsidTr="004D1230">
        <w:tc>
          <w:tcPr>
            <w:tcW w:w="10150" w:type="dxa"/>
            <w:gridSpan w:val="4"/>
            <w:tcBorders>
              <w:top w:val="single" w:sz="4" w:space="0" w:color="006EA0" w:themeColor="accent1"/>
              <w:left w:val="single" w:sz="4" w:space="0" w:color="006EA0" w:themeColor="accent1"/>
              <w:bottom w:val="single" w:sz="4" w:space="0" w:color="006EA0" w:themeColor="accent1"/>
              <w:right w:val="single" w:sz="4" w:space="0" w:color="006EA0" w:themeColor="accent1"/>
            </w:tcBorders>
            <w:vAlign w:val="center"/>
          </w:tcPr>
          <w:p w14:paraId="6C91FDEB" w14:textId="68E35A0B" w:rsidR="009D1B61" w:rsidRDefault="009D1B61" w:rsidP="0072073D">
            <w:pPr>
              <w:spacing w:after="0"/>
              <w:jc w:val="center"/>
            </w:pPr>
            <w:r>
              <w:t>Manufacturing of Components</w:t>
            </w:r>
          </w:p>
        </w:tc>
      </w:tr>
      <w:tr w:rsidR="009D1B61" w14:paraId="0EA36A43" w14:textId="7C587AD3" w:rsidTr="004D1230">
        <w:tc>
          <w:tcPr>
            <w:tcW w:w="10150" w:type="dxa"/>
            <w:gridSpan w:val="4"/>
            <w:tcBorders>
              <w:top w:val="single" w:sz="4" w:space="0" w:color="006EA0" w:themeColor="accent1"/>
              <w:left w:val="single" w:sz="4" w:space="0" w:color="006EA0" w:themeColor="accent1"/>
              <w:bottom w:val="single" w:sz="4" w:space="0" w:color="006EA0" w:themeColor="accent1"/>
              <w:right w:val="single" w:sz="4" w:space="0" w:color="006EA0" w:themeColor="accent1"/>
            </w:tcBorders>
            <w:vAlign w:val="center"/>
          </w:tcPr>
          <w:p w14:paraId="696CEFA7" w14:textId="1CC02781" w:rsidR="009D1B61" w:rsidRDefault="009D1B61" w:rsidP="0072073D">
            <w:pPr>
              <w:spacing w:after="0"/>
              <w:jc w:val="center"/>
            </w:pPr>
            <w:r>
              <w:t>Manufacturing of Mounting Equipment</w:t>
            </w:r>
          </w:p>
        </w:tc>
      </w:tr>
      <w:tr w:rsidR="009D1B61" w14:paraId="56CC4AA9" w14:textId="037B6E87" w:rsidTr="004D1230">
        <w:tc>
          <w:tcPr>
            <w:tcW w:w="10150" w:type="dxa"/>
            <w:gridSpan w:val="4"/>
            <w:tcBorders>
              <w:top w:val="single" w:sz="4" w:space="0" w:color="006EA0" w:themeColor="accent1"/>
              <w:left w:val="single" w:sz="4" w:space="0" w:color="006EA0" w:themeColor="accent1"/>
              <w:bottom w:val="single" w:sz="4" w:space="0" w:color="006EA0" w:themeColor="accent1"/>
              <w:right w:val="single" w:sz="4" w:space="0" w:color="006EA0" w:themeColor="accent1"/>
            </w:tcBorders>
            <w:vAlign w:val="center"/>
          </w:tcPr>
          <w:p w14:paraId="314BE8CA" w14:textId="1ACEBC36" w:rsidR="009D1B61" w:rsidRPr="00A33A88" w:rsidRDefault="009D1B61" w:rsidP="0072073D">
            <w:pPr>
              <w:spacing w:after="0"/>
              <w:jc w:val="center"/>
            </w:pPr>
            <w:proofErr w:type="gramStart"/>
            <w:r w:rsidRPr="00A33A88">
              <w:t>Manufacturing of</w:t>
            </w:r>
            <w:proofErr w:type="gramEnd"/>
            <w:r w:rsidRPr="00A33A88">
              <w:t xml:space="preserve"> Support Structures</w:t>
            </w:r>
          </w:p>
        </w:tc>
      </w:tr>
      <w:tr w:rsidR="009D1B61" w14:paraId="4714920D" w14:textId="68CD75C1" w:rsidTr="004D1230">
        <w:tc>
          <w:tcPr>
            <w:tcW w:w="10150" w:type="dxa"/>
            <w:gridSpan w:val="4"/>
            <w:tcBorders>
              <w:top w:val="single" w:sz="4" w:space="0" w:color="006EA0" w:themeColor="accent1"/>
              <w:left w:val="single" w:sz="4" w:space="0" w:color="006EA0" w:themeColor="accent1"/>
              <w:bottom w:val="single" w:sz="4" w:space="0" w:color="006EA0" w:themeColor="accent1"/>
              <w:right w:val="single" w:sz="4" w:space="0" w:color="006EA0" w:themeColor="accent1"/>
            </w:tcBorders>
            <w:vAlign w:val="center"/>
          </w:tcPr>
          <w:p w14:paraId="2D2B5650" w14:textId="2FB5646D" w:rsidR="009D1B61" w:rsidRDefault="009D1B61" w:rsidP="0072073D">
            <w:pPr>
              <w:spacing w:after="0"/>
              <w:jc w:val="center"/>
            </w:pPr>
            <w:r>
              <w:t>Manufacturing of Other Power Conditioning Equipment</w:t>
            </w:r>
          </w:p>
        </w:tc>
      </w:tr>
    </w:tbl>
    <w:p w14:paraId="5E0C70C1" w14:textId="77777777" w:rsidR="00FA5DC8" w:rsidRDefault="00FA5DC8" w:rsidP="006A6969"/>
    <w:p w14:paraId="08182B00" w14:textId="4F0EDF7D" w:rsidR="00F92F07" w:rsidRDefault="002A4CFF" w:rsidP="00F92F07">
      <w:pPr>
        <w:spacing w:before="240"/>
        <w:rPr>
          <w:b/>
          <w:bCs/>
        </w:rPr>
      </w:pPr>
      <w:r>
        <w:rPr>
          <w:noProof/>
        </w:rPr>
        <w:lastRenderedPageBreak/>
        <w:drawing>
          <wp:inline distT="0" distB="0" distL="0" distR="0" wp14:anchorId="0DD23B0C" wp14:editId="267EE92F">
            <wp:extent cx="5943600" cy="6858000"/>
            <wp:effectExtent l="0" t="0" r="0" b="0"/>
            <wp:docPr id="2003491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9130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943600" cy="6858000"/>
                    </a:xfrm>
                    <a:prstGeom prst="rect">
                      <a:avLst/>
                    </a:prstGeom>
                    <a:noFill/>
                    <a:ln>
                      <a:noFill/>
                    </a:ln>
                  </pic:spPr>
                </pic:pic>
              </a:graphicData>
            </a:graphic>
          </wp:inline>
        </w:drawing>
      </w:r>
      <w:r w:rsidR="00B238E3" w:rsidRPr="00A317D1">
        <w:rPr>
          <w:rStyle w:val="FootnoteReference"/>
          <w:color w:val="FFFFFF" w:themeColor="background1"/>
          <w:sz w:val="20"/>
          <w:szCs w:val="20"/>
        </w:rPr>
        <w:footnoteReference w:id="5"/>
      </w:r>
      <w:r w:rsidR="000F47C6" w:rsidRPr="00A317D1">
        <w:rPr>
          <w:rStyle w:val="FootnoteReference"/>
          <w:color w:val="FFFFFF" w:themeColor="background1"/>
          <w:sz w:val="20"/>
          <w:szCs w:val="20"/>
        </w:rPr>
        <w:footnoteReference w:id="6"/>
      </w:r>
      <w:r w:rsidR="00422562" w:rsidRPr="00A317D1">
        <w:rPr>
          <w:rStyle w:val="FootnoteReference"/>
          <w:color w:val="FFFFFF" w:themeColor="background1"/>
          <w:sz w:val="20"/>
          <w:szCs w:val="20"/>
        </w:rPr>
        <w:footnoteReference w:id="7"/>
      </w:r>
    </w:p>
    <w:p w14:paraId="678AE0E7" w14:textId="155015A8" w:rsidR="00F316E3" w:rsidRDefault="00EB4CBD" w:rsidP="0048691D">
      <w:pPr>
        <w:pStyle w:val="Heading2"/>
      </w:pPr>
      <w:r>
        <w:lastRenderedPageBreak/>
        <w:t xml:space="preserve">Key Dates </w:t>
      </w:r>
      <w:r w:rsidR="009D7131">
        <w:t>From the</w:t>
      </w:r>
      <w:r w:rsidR="00F316E3" w:rsidRPr="00F316E3">
        <w:t xml:space="preserve"> </w:t>
      </w:r>
      <w:r w:rsidR="00261B56" w:rsidRPr="00F316E3">
        <w:t>OBBBA</w:t>
      </w:r>
      <w:r w:rsidR="00261B56">
        <w:t xml:space="preserve"> </w:t>
      </w:r>
    </w:p>
    <w:p w14:paraId="1EEBB9C6" w14:textId="716E73C7" w:rsidR="00D620CD" w:rsidRPr="00177380" w:rsidRDefault="001A045E" w:rsidP="00177380">
      <w:pPr>
        <w:spacing w:before="240"/>
      </w:pPr>
      <w:r>
        <w:t xml:space="preserve">The </w:t>
      </w:r>
      <w:r w:rsidRPr="00A031C0">
        <w:t>graphic</w:t>
      </w:r>
      <w:r>
        <w:t xml:space="preserve"> below </w:t>
      </w:r>
      <w:r w:rsidR="00261B56">
        <w:t xml:space="preserve">presents a timeline of </w:t>
      </w:r>
      <w:r w:rsidR="00A21E93">
        <w:t xml:space="preserve">the changes to the clean energy credits in </w:t>
      </w:r>
      <w:r w:rsidR="00261B56">
        <w:t>the OBBBA</w:t>
      </w:r>
      <w:r w:rsidR="00666B7F">
        <w:t xml:space="preserve">. Most of the changes are enacted </w:t>
      </w:r>
      <w:r w:rsidR="00226379">
        <w:t xml:space="preserve">in the </w:t>
      </w:r>
      <w:r w:rsidR="002C5EEA">
        <w:t xml:space="preserve">2026 </w:t>
      </w:r>
      <w:r w:rsidR="00822A55">
        <w:t>tax year.</w:t>
      </w:r>
      <w:r w:rsidR="00367F4F">
        <w:t xml:space="preserve"> </w:t>
      </w:r>
      <w:r w:rsidR="00822A55">
        <w:t xml:space="preserve">Generally, technologies have a complete phase out of </w:t>
      </w:r>
      <w:proofErr w:type="gramStart"/>
      <w:r w:rsidR="00822A55">
        <w:t>credits</w:t>
      </w:r>
      <w:proofErr w:type="gramEnd"/>
      <w:r w:rsidR="00822A55">
        <w:t xml:space="preserve"> by the end of 2035</w:t>
      </w:r>
      <w:r w:rsidR="00813178">
        <w:t xml:space="preserve"> (</w:t>
      </w:r>
      <w:proofErr w:type="gramStart"/>
      <w:r w:rsidR="00813178">
        <w:t>with the exception of</w:t>
      </w:r>
      <w:proofErr w:type="gramEnd"/>
      <w:r w:rsidR="00813178">
        <w:t xml:space="preserve"> solar and wind)</w:t>
      </w:r>
      <w:r w:rsidR="00226379">
        <w:t>.</w:t>
      </w:r>
    </w:p>
    <w:p w14:paraId="4EF51003" w14:textId="29D5AB40" w:rsidR="00DF0E5B" w:rsidRPr="00F316E3" w:rsidRDefault="002D5D0F" w:rsidP="00DF0E5B">
      <w:pPr>
        <w:rPr>
          <w:b/>
          <w:bCs/>
        </w:rPr>
      </w:pPr>
      <w:r>
        <w:rPr>
          <w:b/>
          <w:bCs/>
          <w:noProof/>
        </w:rPr>
        <w:drawing>
          <wp:inline distT="0" distB="0" distL="0" distR="0" wp14:anchorId="53B19D9C" wp14:editId="73E80118">
            <wp:extent cx="5945702" cy="7180580"/>
            <wp:effectExtent l="0" t="0" r="0" b="1270"/>
            <wp:docPr id="12854890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89048"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945702" cy="7180580"/>
                    </a:xfrm>
                    <a:prstGeom prst="rect">
                      <a:avLst/>
                    </a:prstGeom>
                    <a:noFill/>
                    <a:ln>
                      <a:noFill/>
                    </a:ln>
                  </pic:spPr>
                </pic:pic>
              </a:graphicData>
            </a:graphic>
          </wp:inline>
        </w:drawing>
      </w:r>
    </w:p>
    <w:sectPr w:rsidR="00DF0E5B" w:rsidRPr="00F316E3" w:rsidSect="008752F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369A" w14:textId="77777777" w:rsidR="00F757F2" w:rsidRDefault="00F757F2" w:rsidP="00BA5D3B">
      <w:pPr>
        <w:spacing w:after="0" w:line="240" w:lineRule="auto"/>
      </w:pPr>
      <w:r>
        <w:separator/>
      </w:r>
    </w:p>
  </w:endnote>
  <w:endnote w:type="continuationSeparator" w:id="0">
    <w:p w14:paraId="4E99F86E" w14:textId="77777777" w:rsidR="00F757F2" w:rsidRDefault="00F757F2" w:rsidP="00BA5D3B">
      <w:pPr>
        <w:spacing w:after="0" w:line="240" w:lineRule="auto"/>
      </w:pPr>
      <w:r>
        <w:continuationSeparator/>
      </w:r>
    </w:p>
  </w:endnote>
  <w:endnote w:type="continuationNotice" w:id="1">
    <w:p w14:paraId="396D4EA8" w14:textId="77777777" w:rsidR="00F757F2" w:rsidRDefault="00F75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45C7" w14:textId="77777777" w:rsidR="00F757F2" w:rsidRDefault="00F757F2" w:rsidP="00BA5D3B">
      <w:pPr>
        <w:spacing w:after="0" w:line="240" w:lineRule="auto"/>
      </w:pPr>
      <w:r>
        <w:separator/>
      </w:r>
    </w:p>
  </w:footnote>
  <w:footnote w:type="continuationSeparator" w:id="0">
    <w:p w14:paraId="5DB7A299" w14:textId="77777777" w:rsidR="00F757F2" w:rsidRDefault="00F757F2" w:rsidP="00BA5D3B">
      <w:pPr>
        <w:spacing w:after="0" w:line="240" w:lineRule="auto"/>
      </w:pPr>
      <w:r>
        <w:continuationSeparator/>
      </w:r>
    </w:p>
  </w:footnote>
  <w:footnote w:type="continuationNotice" w:id="1">
    <w:p w14:paraId="4E6B4704" w14:textId="77777777" w:rsidR="00F757F2" w:rsidRDefault="00F757F2">
      <w:pPr>
        <w:spacing w:after="0" w:line="240" w:lineRule="auto"/>
      </w:pPr>
    </w:p>
  </w:footnote>
  <w:footnote w:id="2">
    <w:p w14:paraId="2CDC7FBC" w14:textId="77777777" w:rsidR="00DD409D" w:rsidRPr="00FD37E4" w:rsidRDefault="00DD409D" w:rsidP="00DD409D">
      <w:pPr>
        <w:pStyle w:val="FootnoteText"/>
        <w:rPr>
          <w:sz w:val="16"/>
          <w:szCs w:val="16"/>
        </w:rPr>
      </w:pPr>
      <w:r w:rsidRPr="00FD37E4">
        <w:rPr>
          <w:rStyle w:val="FootnoteReference"/>
          <w:sz w:val="16"/>
          <w:szCs w:val="16"/>
        </w:rPr>
        <w:footnoteRef/>
      </w:r>
      <w:r w:rsidRPr="00FD37E4">
        <w:rPr>
          <w:sz w:val="16"/>
          <w:szCs w:val="16"/>
        </w:rPr>
        <w:t xml:space="preserve"> </w:t>
      </w:r>
      <w:hyperlink r:id="rId1" w:history="1">
        <w:r w:rsidRPr="00FD37E4">
          <w:rPr>
            <w:rStyle w:val="Hyperlink"/>
            <w:sz w:val="16"/>
            <w:szCs w:val="16"/>
          </w:rPr>
          <w:t>“One Big Beautiful Bill Act” signed into law: Clean energy credits and new FEOC/ Prohibited Foreign entity rules</w:t>
        </w:r>
      </w:hyperlink>
    </w:p>
  </w:footnote>
  <w:footnote w:id="3">
    <w:p w14:paraId="2F25FC5A" w14:textId="511AAC42" w:rsidR="004C0AE2" w:rsidRDefault="004C0AE2">
      <w:pPr>
        <w:pStyle w:val="FootnoteText"/>
      </w:pPr>
      <w:r>
        <w:rPr>
          <w:rStyle w:val="FootnoteReference"/>
        </w:rPr>
        <w:footnoteRef/>
      </w:r>
      <w:r>
        <w:t xml:space="preserve"> </w:t>
      </w:r>
      <w:r w:rsidRPr="005E7560">
        <w:rPr>
          <w:sz w:val="16"/>
          <w:szCs w:val="16"/>
        </w:rPr>
        <w:t>The Physical Work Test requires physical work of a signature nature related to the manufacturing, construction or production of the applicable facility to begin. There is no minimum amount of work or monetary percentage to meet this test.</w:t>
      </w:r>
      <w:r>
        <w:rPr>
          <w:sz w:val="16"/>
          <w:szCs w:val="16"/>
        </w:rPr>
        <w:t xml:space="preserve"> Further details found here: </w:t>
      </w:r>
      <w:hyperlink r:id="rId2" w:history="1">
        <w:r w:rsidRPr="004722E7">
          <w:rPr>
            <w:rStyle w:val="Hyperlink"/>
            <w:sz w:val="16"/>
            <w:szCs w:val="16"/>
          </w:rPr>
          <w:t>Sections 45Y and 48E Beginning of Construction Notice</w:t>
        </w:r>
      </w:hyperlink>
    </w:p>
  </w:footnote>
  <w:footnote w:id="4">
    <w:p w14:paraId="791BE17F" w14:textId="77777777" w:rsidR="00780B40" w:rsidRDefault="00780B40" w:rsidP="00780B40">
      <w:pPr>
        <w:pStyle w:val="FootnoteText"/>
      </w:pPr>
      <w:r>
        <w:rPr>
          <w:rStyle w:val="FootnoteReference"/>
        </w:rPr>
        <w:footnoteRef/>
      </w:r>
      <w:r>
        <w:t xml:space="preserve"> </w:t>
      </w:r>
      <w:r w:rsidRPr="00787FBD">
        <w:rPr>
          <w:sz w:val="16"/>
          <w:szCs w:val="16"/>
        </w:rPr>
        <w:t>Allowable disruptions to construction include severe weather, labor stoppages, inability to obtain specialized equipment, supply shortages or delays in permitting, interconnection requests, manufacturing of custom components, or financing.</w:t>
      </w:r>
      <w:r>
        <w:t xml:space="preserve"> </w:t>
      </w:r>
    </w:p>
  </w:footnote>
  <w:footnote w:id="5">
    <w:p w14:paraId="16294946" w14:textId="77777777" w:rsidR="00B238E3" w:rsidRPr="00227093" w:rsidRDefault="00B238E3" w:rsidP="00B238E3">
      <w:pPr>
        <w:pStyle w:val="FootnoteText"/>
        <w:rPr>
          <w:sz w:val="16"/>
          <w:szCs w:val="16"/>
          <w:lang w:val="en-CA"/>
        </w:rPr>
      </w:pPr>
      <w:r w:rsidRPr="00227093">
        <w:rPr>
          <w:rStyle w:val="FootnoteReference"/>
          <w:sz w:val="16"/>
          <w:szCs w:val="16"/>
        </w:rPr>
        <w:footnoteRef/>
      </w:r>
      <w:r w:rsidRPr="00227093">
        <w:rPr>
          <w:sz w:val="16"/>
          <w:szCs w:val="16"/>
        </w:rPr>
        <w:t xml:space="preserve"> Unless acquired under a binding contract in force prior to January</w:t>
      </w:r>
      <w:r w:rsidRPr="00227093">
        <w:rPr>
          <w:rFonts w:ascii="Arial" w:hAnsi="Arial"/>
          <w:sz w:val="16"/>
          <w:szCs w:val="16"/>
        </w:rPr>
        <w:t> </w:t>
      </w:r>
      <w:r w:rsidRPr="00227093">
        <w:rPr>
          <w:sz w:val="16"/>
          <w:szCs w:val="16"/>
        </w:rPr>
        <w:t>1,</w:t>
      </w:r>
      <w:r w:rsidRPr="00227093">
        <w:rPr>
          <w:rFonts w:ascii="Arial" w:hAnsi="Arial"/>
          <w:sz w:val="16"/>
          <w:szCs w:val="16"/>
        </w:rPr>
        <w:t> </w:t>
      </w:r>
      <w:r w:rsidRPr="00227093">
        <w:rPr>
          <w:sz w:val="16"/>
          <w:szCs w:val="16"/>
        </w:rPr>
        <w:t>2023. Covered entities include North Korea, China, Russia, and Iran.</w:t>
      </w:r>
    </w:p>
  </w:footnote>
  <w:footnote w:id="6">
    <w:p w14:paraId="71F89A97" w14:textId="77777777" w:rsidR="000F47C6" w:rsidRPr="00227093" w:rsidRDefault="000F47C6" w:rsidP="000F47C6">
      <w:pPr>
        <w:pStyle w:val="FootnoteText"/>
        <w:rPr>
          <w:sz w:val="16"/>
          <w:szCs w:val="16"/>
          <w:lang w:val="en-CA"/>
        </w:rPr>
      </w:pPr>
      <w:r w:rsidRPr="00227093">
        <w:rPr>
          <w:rStyle w:val="FootnoteReference"/>
          <w:sz w:val="16"/>
          <w:szCs w:val="16"/>
        </w:rPr>
        <w:footnoteRef/>
      </w:r>
      <w:r w:rsidRPr="00227093">
        <w:rPr>
          <w:sz w:val="16"/>
          <w:szCs w:val="16"/>
        </w:rPr>
        <w:t xml:space="preserve"> The Zero-Emission Nuclear Power Production Credit is separate from the CEPTC as it only applies to existing facilities operational before August 16, 2022, and aims to preserve electricity generation of existing facilities: </w:t>
      </w:r>
      <w:hyperlink r:id="rId3" w:history="1">
        <w:r w:rsidRPr="00227093">
          <w:rPr>
            <w:rStyle w:val="Hyperlink"/>
            <w:sz w:val="16"/>
            <w:szCs w:val="16"/>
          </w:rPr>
          <w:t>congress.gov/</w:t>
        </w:r>
        <w:proofErr w:type="spellStart"/>
        <w:r w:rsidRPr="00227093">
          <w:rPr>
            <w:rStyle w:val="Hyperlink"/>
            <w:sz w:val="16"/>
            <w:szCs w:val="16"/>
          </w:rPr>
          <w:t>crs_external_products</w:t>
        </w:r>
        <w:proofErr w:type="spellEnd"/>
        <w:r w:rsidRPr="00227093">
          <w:rPr>
            <w:rStyle w:val="Hyperlink"/>
            <w:sz w:val="16"/>
            <w:szCs w:val="16"/>
          </w:rPr>
          <w:t>/IN/HTML/IN12557.web.html</w:t>
        </w:r>
      </w:hyperlink>
    </w:p>
  </w:footnote>
  <w:footnote w:id="7">
    <w:p w14:paraId="2CA9A184" w14:textId="77777777" w:rsidR="00422562" w:rsidRPr="00177380" w:rsidRDefault="00422562" w:rsidP="00422562">
      <w:pPr>
        <w:pStyle w:val="FootnoteText"/>
        <w:rPr>
          <w:sz w:val="16"/>
          <w:szCs w:val="16"/>
        </w:rPr>
      </w:pPr>
      <w:r w:rsidRPr="00177380">
        <w:rPr>
          <w:rStyle w:val="FootnoteReference"/>
          <w:sz w:val="16"/>
          <w:szCs w:val="16"/>
        </w:rPr>
        <w:footnoteRef/>
      </w:r>
      <w:r w:rsidRPr="00177380">
        <w:rPr>
          <w:sz w:val="16"/>
          <w:szCs w:val="16"/>
        </w:rPr>
        <w:t xml:space="preserve"> Beginning of construction is recognized as either the Five Percent Safe Harbor rule (for projects less than 1.5MWac or projects that begin construction prior to September 2, 2025) or the Physical Work Test (for projects greater than 1.5MWac that begin construction after September 1,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E308" w14:textId="1EC5F601" w:rsidR="00D230E5" w:rsidRDefault="00D230E5" w:rsidP="00D230E5">
    <w:pPr>
      <w:pStyle w:val="Header"/>
      <w:jc w:val="right"/>
    </w:pPr>
    <w:r>
      <w:rPr>
        <w:b/>
        <w:bCs/>
      </w:rPr>
      <w:t>Clean Energy Tax Credit Implications from the OBBBA</w:t>
    </w:r>
    <w:r>
      <w:t xml:space="preserve"> | </w:t>
    </w:r>
    <w:r w:rsidR="004C0AE2" w:rsidRPr="004C0AE2">
      <w:t xml:space="preserve"> </w:t>
    </w:r>
    <w:sdt>
      <w:sdtPr>
        <w:id w:val="847372513"/>
        <w:docPartObj>
          <w:docPartGallery w:val="Page Numbers (Top of Page)"/>
          <w:docPartUnique/>
        </w:docPartObj>
      </w:sdtPr>
      <w:sdtEndPr>
        <w:rPr>
          <w:noProof/>
        </w:rPr>
      </w:sdtEndPr>
      <w:sdtContent>
        <w:r w:rsidR="004C0AE2">
          <w:fldChar w:fldCharType="begin"/>
        </w:r>
        <w:r w:rsidR="004C0AE2">
          <w:instrText xml:space="preserve"> PAGE   \* MERGEFORMAT </w:instrText>
        </w:r>
        <w:r w:rsidR="004C0AE2">
          <w:fldChar w:fldCharType="separate"/>
        </w:r>
        <w:r w:rsidR="004C0AE2">
          <w:t>1</w:t>
        </w:r>
        <w:r w:rsidR="004C0AE2">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4C81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D4C12"/>
    <w:multiLevelType w:val="hybridMultilevel"/>
    <w:tmpl w:val="828820D6"/>
    <w:lvl w:ilvl="0" w:tplc="392CB516">
      <w:start w:val="1"/>
      <w:numFmt w:val="bullet"/>
      <w:lvlText w:val="-"/>
      <w:lvlJc w:val="left"/>
      <w:pPr>
        <w:ind w:left="720" w:hanging="360"/>
      </w:pPr>
      <w:rPr>
        <w:rFonts w:ascii="Aptos" w:hAnsi="Aptos" w:hint="default"/>
      </w:rPr>
    </w:lvl>
    <w:lvl w:ilvl="1" w:tplc="BFE4021A">
      <w:start w:val="1"/>
      <w:numFmt w:val="bullet"/>
      <w:lvlText w:val="o"/>
      <w:lvlJc w:val="left"/>
      <w:pPr>
        <w:ind w:left="1440" w:hanging="360"/>
      </w:pPr>
      <w:rPr>
        <w:rFonts w:ascii="Courier New" w:hAnsi="Courier New" w:hint="default"/>
      </w:rPr>
    </w:lvl>
    <w:lvl w:ilvl="2" w:tplc="0892084C">
      <w:start w:val="1"/>
      <w:numFmt w:val="bullet"/>
      <w:lvlText w:val=""/>
      <w:lvlJc w:val="left"/>
      <w:pPr>
        <w:ind w:left="2160" w:hanging="360"/>
      </w:pPr>
      <w:rPr>
        <w:rFonts w:ascii="Wingdings" w:hAnsi="Wingdings" w:hint="default"/>
      </w:rPr>
    </w:lvl>
    <w:lvl w:ilvl="3" w:tplc="8FA08B08">
      <w:start w:val="1"/>
      <w:numFmt w:val="bullet"/>
      <w:lvlText w:val=""/>
      <w:lvlJc w:val="left"/>
      <w:pPr>
        <w:ind w:left="2880" w:hanging="360"/>
      </w:pPr>
      <w:rPr>
        <w:rFonts w:ascii="Symbol" w:hAnsi="Symbol" w:hint="default"/>
      </w:rPr>
    </w:lvl>
    <w:lvl w:ilvl="4" w:tplc="5464F7C0">
      <w:start w:val="1"/>
      <w:numFmt w:val="bullet"/>
      <w:lvlText w:val="o"/>
      <w:lvlJc w:val="left"/>
      <w:pPr>
        <w:ind w:left="3600" w:hanging="360"/>
      </w:pPr>
      <w:rPr>
        <w:rFonts w:ascii="Courier New" w:hAnsi="Courier New" w:hint="default"/>
      </w:rPr>
    </w:lvl>
    <w:lvl w:ilvl="5" w:tplc="064856DA">
      <w:start w:val="1"/>
      <w:numFmt w:val="bullet"/>
      <w:lvlText w:val=""/>
      <w:lvlJc w:val="left"/>
      <w:pPr>
        <w:ind w:left="4320" w:hanging="360"/>
      </w:pPr>
      <w:rPr>
        <w:rFonts w:ascii="Wingdings" w:hAnsi="Wingdings" w:hint="default"/>
      </w:rPr>
    </w:lvl>
    <w:lvl w:ilvl="6" w:tplc="62D2ADD2">
      <w:start w:val="1"/>
      <w:numFmt w:val="bullet"/>
      <w:lvlText w:val=""/>
      <w:lvlJc w:val="left"/>
      <w:pPr>
        <w:ind w:left="5040" w:hanging="360"/>
      </w:pPr>
      <w:rPr>
        <w:rFonts w:ascii="Symbol" w:hAnsi="Symbol" w:hint="default"/>
      </w:rPr>
    </w:lvl>
    <w:lvl w:ilvl="7" w:tplc="C2560B60">
      <w:start w:val="1"/>
      <w:numFmt w:val="bullet"/>
      <w:lvlText w:val="o"/>
      <w:lvlJc w:val="left"/>
      <w:pPr>
        <w:ind w:left="5760" w:hanging="360"/>
      </w:pPr>
      <w:rPr>
        <w:rFonts w:ascii="Courier New" w:hAnsi="Courier New" w:hint="default"/>
      </w:rPr>
    </w:lvl>
    <w:lvl w:ilvl="8" w:tplc="AD4CEADA">
      <w:start w:val="1"/>
      <w:numFmt w:val="bullet"/>
      <w:lvlText w:val=""/>
      <w:lvlJc w:val="left"/>
      <w:pPr>
        <w:ind w:left="6480" w:hanging="360"/>
      </w:pPr>
      <w:rPr>
        <w:rFonts w:ascii="Wingdings" w:hAnsi="Wingdings" w:hint="default"/>
      </w:rPr>
    </w:lvl>
  </w:abstractNum>
  <w:abstractNum w:abstractNumId="2" w15:restartNumberingAfterBreak="0">
    <w:nsid w:val="139F7256"/>
    <w:multiLevelType w:val="hybridMultilevel"/>
    <w:tmpl w:val="3616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FBC06"/>
    <w:multiLevelType w:val="hybridMultilevel"/>
    <w:tmpl w:val="5CE2C194"/>
    <w:lvl w:ilvl="0" w:tplc="C1FC5B3E">
      <w:start w:val="1"/>
      <w:numFmt w:val="bullet"/>
      <w:lvlText w:val="-"/>
      <w:lvlJc w:val="left"/>
      <w:pPr>
        <w:ind w:left="720" w:hanging="360"/>
      </w:pPr>
      <w:rPr>
        <w:rFonts w:ascii="Aptos" w:hAnsi="Aptos" w:hint="default"/>
      </w:rPr>
    </w:lvl>
    <w:lvl w:ilvl="1" w:tplc="D4928A38">
      <w:start w:val="1"/>
      <w:numFmt w:val="bullet"/>
      <w:lvlText w:val="o"/>
      <w:lvlJc w:val="left"/>
      <w:pPr>
        <w:ind w:left="1440" w:hanging="360"/>
      </w:pPr>
      <w:rPr>
        <w:rFonts w:ascii="Courier New" w:hAnsi="Courier New" w:hint="default"/>
      </w:rPr>
    </w:lvl>
    <w:lvl w:ilvl="2" w:tplc="05BE8AAE">
      <w:start w:val="1"/>
      <w:numFmt w:val="bullet"/>
      <w:lvlText w:val=""/>
      <w:lvlJc w:val="left"/>
      <w:pPr>
        <w:ind w:left="2160" w:hanging="360"/>
      </w:pPr>
      <w:rPr>
        <w:rFonts w:ascii="Wingdings" w:hAnsi="Wingdings" w:hint="default"/>
      </w:rPr>
    </w:lvl>
    <w:lvl w:ilvl="3" w:tplc="985EC9A4">
      <w:start w:val="1"/>
      <w:numFmt w:val="bullet"/>
      <w:lvlText w:val=""/>
      <w:lvlJc w:val="left"/>
      <w:pPr>
        <w:ind w:left="2880" w:hanging="360"/>
      </w:pPr>
      <w:rPr>
        <w:rFonts w:ascii="Symbol" w:hAnsi="Symbol" w:hint="default"/>
      </w:rPr>
    </w:lvl>
    <w:lvl w:ilvl="4" w:tplc="47A29C74">
      <w:start w:val="1"/>
      <w:numFmt w:val="bullet"/>
      <w:lvlText w:val="o"/>
      <w:lvlJc w:val="left"/>
      <w:pPr>
        <w:ind w:left="3600" w:hanging="360"/>
      </w:pPr>
      <w:rPr>
        <w:rFonts w:ascii="Courier New" w:hAnsi="Courier New" w:hint="default"/>
      </w:rPr>
    </w:lvl>
    <w:lvl w:ilvl="5" w:tplc="8F3A185C">
      <w:start w:val="1"/>
      <w:numFmt w:val="bullet"/>
      <w:lvlText w:val=""/>
      <w:lvlJc w:val="left"/>
      <w:pPr>
        <w:ind w:left="4320" w:hanging="360"/>
      </w:pPr>
      <w:rPr>
        <w:rFonts w:ascii="Wingdings" w:hAnsi="Wingdings" w:hint="default"/>
      </w:rPr>
    </w:lvl>
    <w:lvl w:ilvl="6" w:tplc="03264AC4">
      <w:start w:val="1"/>
      <w:numFmt w:val="bullet"/>
      <w:lvlText w:val=""/>
      <w:lvlJc w:val="left"/>
      <w:pPr>
        <w:ind w:left="5040" w:hanging="360"/>
      </w:pPr>
      <w:rPr>
        <w:rFonts w:ascii="Symbol" w:hAnsi="Symbol" w:hint="default"/>
      </w:rPr>
    </w:lvl>
    <w:lvl w:ilvl="7" w:tplc="BC163992">
      <w:start w:val="1"/>
      <w:numFmt w:val="bullet"/>
      <w:lvlText w:val="o"/>
      <w:lvlJc w:val="left"/>
      <w:pPr>
        <w:ind w:left="5760" w:hanging="360"/>
      </w:pPr>
      <w:rPr>
        <w:rFonts w:ascii="Courier New" w:hAnsi="Courier New" w:hint="default"/>
      </w:rPr>
    </w:lvl>
    <w:lvl w:ilvl="8" w:tplc="1532698E">
      <w:start w:val="1"/>
      <w:numFmt w:val="bullet"/>
      <w:lvlText w:val=""/>
      <w:lvlJc w:val="left"/>
      <w:pPr>
        <w:ind w:left="6480" w:hanging="360"/>
      </w:pPr>
      <w:rPr>
        <w:rFonts w:ascii="Wingdings" w:hAnsi="Wingdings" w:hint="default"/>
      </w:rPr>
    </w:lvl>
  </w:abstractNum>
  <w:abstractNum w:abstractNumId="4" w15:restartNumberingAfterBreak="0">
    <w:nsid w:val="2DA42DD3"/>
    <w:multiLevelType w:val="hybridMultilevel"/>
    <w:tmpl w:val="54ACA6F4"/>
    <w:lvl w:ilvl="0" w:tplc="FFFFFFFF">
      <w:start w:val="1"/>
      <w:numFmt w:val="bullet"/>
      <w:lvlText w:val=""/>
      <w:lvlJc w:val="left"/>
      <w:pPr>
        <w:ind w:left="720" w:hanging="360"/>
      </w:pPr>
      <w:rPr>
        <w:rFonts w:ascii="Symbol" w:hAnsi="Symbol" w:hint="default"/>
        <w:color w:val="FDB513"/>
      </w:rPr>
    </w:lvl>
    <w:lvl w:ilvl="1" w:tplc="71228EF6">
      <w:start w:val="1"/>
      <w:numFmt w:val="bullet"/>
      <w:pStyle w:val="ListParagraph2"/>
      <w:lvlText w:val=""/>
      <w:lvlJc w:val="left"/>
      <w:pPr>
        <w:ind w:left="1440" w:hanging="360"/>
      </w:pPr>
      <w:rPr>
        <w:rFonts w:ascii="Symbol" w:hAnsi="Symbol" w:hint="default"/>
        <w:color w:val="FDB513" w:themeColor="accen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736EED"/>
    <w:multiLevelType w:val="hybridMultilevel"/>
    <w:tmpl w:val="D842FF12"/>
    <w:lvl w:ilvl="0" w:tplc="E6504E2A">
      <w:start w:val="1"/>
      <w:numFmt w:val="bullet"/>
      <w:pStyle w:val="ListParagraph"/>
      <w:lvlText w:val=""/>
      <w:lvlJc w:val="left"/>
      <w:pPr>
        <w:ind w:left="1080" w:hanging="360"/>
      </w:pPr>
      <w:rPr>
        <w:rFonts w:ascii="Symbol" w:hAnsi="Symbol" w:hint="default"/>
        <w:color w:val="FDB513"/>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332D15"/>
    <w:multiLevelType w:val="hybridMultilevel"/>
    <w:tmpl w:val="4C1EAFD2"/>
    <w:lvl w:ilvl="0" w:tplc="8B689ADE">
      <w:start w:val="1"/>
      <w:numFmt w:val="bullet"/>
      <w:lvlText w:val=""/>
      <w:lvlJc w:val="left"/>
      <w:pPr>
        <w:ind w:left="360" w:hanging="360"/>
      </w:pPr>
      <w:rPr>
        <w:rFonts w:ascii="Symbol" w:hAnsi="Symbol" w:hint="default"/>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595573F"/>
    <w:multiLevelType w:val="hybridMultilevel"/>
    <w:tmpl w:val="0E0429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9A0A78"/>
    <w:multiLevelType w:val="hybridMultilevel"/>
    <w:tmpl w:val="FC2CD9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72110E"/>
    <w:multiLevelType w:val="hybridMultilevel"/>
    <w:tmpl w:val="2DE8A7E8"/>
    <w:lvl w:ilvl="0" w:tplc="FFFFFFFF">
      <w:start w:val="1"/>
      <w:numFmt w:val="bullet"/>
      <w:lvlText w:val=""/>
      <w:lvlJc w:val="left"/>
      <w:pPr>
        <w:ind w:left="720" w:hanging="360"/>
      </w:pPr>
      <w:rPr>
        <w:rFonts w:ascii="Symbol" w:hAnsi="Symbol" w:hint="default"/>
        <w:color w:val="FDB513"/>
      </w:rPr>
    </w:lvl>
    <w:lvl w:ilvl="1" w:tplc="7A0E11A2">
      <w:start w:val="1"/>
      <w:numFmt w:val="bullet"/>
      <w:pStyle w:val="ListBullet"/>
      <w:lvlText w:val=""/>
      <w:lvlJc w:val="left"/>
      <w:pPr>
        <w:ind w:left="1440" w:hanging="360"/>
      </w:pPr>
      <w:rPr>
        <w:rFonts w:ascii="Symbol" w:hAnsi="Symbol" w:hint="default"/>
        <w:color w:val="006EA0"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0CC3419"/>
    <w:multiLevelType w:val="hybridMultilevel"/>
    <w:tmpl w:val="A85E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F3270"/>
    <w:multiLevelType w:val="hybridMultilevel"/>
    <w:tmpl w:val="A51CC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30353"/>
    <w:multiLevelType w:val="hybridMultilevel"/>
    <w:tmpl w:val="8B9E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F2A95"/>
    <w:multiLevelType w:val="multilevel"/>
    <w:tmpl w:val="94B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4D1803"/>
    <w:multiLevelType w:val="hybridMultilevel"/>
    <w:tmpl w:val="6F1ADBF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9EF1182"/>
    <w:multiLevelType w:val="hybridMultilevel"/>
    <w:tmpl w:val="294EF72A"/>
    <w:lvl w:ilvl="0" w:tplc="FFFFFFFF">
      <w:start w:val="1"/>
      <w:numFmt w:val="bullet"/>
      <w:lvlText w:val=""/>
      <w:lvlJc w:val="left"/>
      <w:pPr>
        <w:ind w:left="720" w:hanging="360"/>
      </w:pPr>
      <w:rPr>
        <w:rFonts w:ascii="Symbol" w:hAnsi="Symbol" w:hint="default"/>
        <w:color w:val="FDB513"/>
      </w:rPr>
    </w:lvl>
    <w:lvl w:ilvl="1" w:tplc="99445BDA">
      <w:start w:val="1"/>
      <w:numFmt w:val="bullet"/>
      <w:lvlText w:val=""/>
      <w:lvlJc w:val="left"/>
      <w:pPr>
        <w:ind w:left="1440" w:hanging="360"/>
      </w:pPr>
      <w:rPr>
        <w:rFonts w:ascii="Symbol" w:hAnsi="Symbol" w:hint="default"/>
        <w:color w:val="FDB51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02683">
    <w:abstractNumId w:val="3"/>
  </w:num>
  <w:num w:numId="2" w16cid:durableId="1277903833">
    <w:abstractNumId w:val="1"/>
  </w:num>
  <w:num w:numId="3" w16cid:durableId="1687055597">
    <w:abstractNumId w:val="13"/>
  </w:num>
  <w:num w:numId="4" w16cid:durableId="1336809689">
    <w:abstractNumId w:val="12"/>
  </w:num>
  <w:num w:numId="5" w16cid:durableId="786779733">
    <w:abstractNumId w:val="10"/>
  </w:num>
  <w:num w:numId="6" w16cid:durableId="1633096110">
    <w:abstractNumId w:val="8"/>
  </w:num>
  <w:num w:numId="7" w16cid:durableId="1345202776">
    <w:abstractNumId w:val="14"/>
  </w:num>
  <w:num w:numId="8" w16cid:durableId="990211521">
    <w:abstractNumId w:val="11"/>
  </w:num>
  <w:num w:numId="9" w16cid:durableId="1503279579">
    <w:abstractNumId w:val="7"/>
  </w:num>
  <w:num w:numId="10" w16cid:durableId="2040280584">
    <w:abstractNumId w:val="2"/>
  </w:num>
  <w:num w:numId="11" w16cid:durableId="753090882">
    <w:abstractNumId w:val="6"/>
  </w:num>
  <w:num w:numId="12" w16cid:durableId="304313239">
    <w:abstractNumId w:val="0"/>
  </w:num>
  <w:num w:numId="13" w16cid:durableId="298612479">
    <w:abstractNumId w:val="9"/>
  </w:num>
  <w:num w:numId="14" w16cid:durableId="1694577239">
    <w:abstractNumId w:val="5"/>
  </w:num>
  <w:num w:numId="15" w16cid:durableId="1298998209">
    <w:abstractNumId w:val="15"/>
  </w:num>
  <w:num w:numId="16" w16cid:durableId="560794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FB8D65"/>
    <w:rsid w:val="000011AC"/>
    <w:rsid w:val="00005483"/>
    <w:rsid w:val="00005DF8"/>
    <w:rsid w:val="00006875"/>
    <w:rsid w:val="00013427"/>
    <w:rsid w:val="000135D6"/>
    <w:rsid w:val="00013760"/>
    <w:rsid w:val="00016B65"/>
    <w:rsid w:val="0002366E"/>
    <w:rsid w:val="0002475E"/>
    <w:rsid w:val="00024A61"/>
    <w:rsid w:val="0002525C"/>
    <w:rsid w:val="00030193"/>
    <w:rsid w:val="00030273"/>
    <w:rsid w:val="00030472"/>
    <w:rsid w:val="00031DF5"/>
    <w:rsid w:val="00033A71"/>
    <w:rsid w:val="00037DC5"/>
    <w:rsid w:val="00041C82"/>
    <w:rsid w:val="00042E01"/>
    <w:rsid w:val="0004410B"/>
    <w:rsid w:val="000445CE"/>
    <w:rsid w:val="00046703"/>
    <w:rsid w:val="00050702"/>
    <w:rsid w:val="00052368"/>
    <w:rsid w:val="00052C1C"/>
    <w:rsid w:val="00053844"/>
    <w:rsid w:val="00054998"/>
    <w:rsid w:val="000556BA"/>
    <w:rsid w:val="00055E3D"/>
    <w:rsid w:val="0006019A"/>
    <w:rsid w:val="0006181A"/>
    <w:rsid w:val="00063AED"/>
    <w:rsid w:val="00065CF4"/>
    <w:rsid w:val="00070CC5"/>
    <w:rsid w:val="000712FE"/>
    <w:rsid w:val="00074B8B"/>
    <w:rsid w:val="00074CA4"/>
    <w:rsid w:val="00080090"/>
    <w:rsid w:val="000865E9"/>
    <w:rsid w:val="000920DB"/>
    <w:rsid w:val="00092925"/>
    <w:rsid w:val="00095C5B"/>
    <w:rsid w:val="00096236"/>
    <w:rsid w:val="00096258"/>
    <w:rsid w:val="000A6260"/>
    <w:rsid w:val="000A6E39"/>
    <w:rsid w:val="000B01D4"/>
    <w:rsid w:val="000B2D50"/>
    <w:rsid w:val="000B4025"/>
    <w:rsid w:val="000B516E"/>
    <w:rsid w:val="000B6D94"/>
    <w:rsid w:val="000C4B67"/>
    <w:rsid w:val="000D1369"/>
    <w:rsid w:val="000D268B"/>
    <w:rsid w:val="000D5173"/>
    <w:rsid w:val="000D6448"/>
    <w:rsid w:val="000E0831"/>
    <w:rsid w:val="000E37E8"/>
    <w:rsid w:val="000E7BEC"/>
    <w:rsid w:val="000F00DC"/>
    <w:rsid w:val="000F0C9A"/>
    <w:rsid w:val="000F0F49"/>
    <w:rsid w:val="000F1EF5"/>
    <w:rsid w:val="000F21EE"/>
    <w:rsid w:val="000F47C6"/>
    <w:rsid w:val="000F59C5"/>
    <w:rsid w:val="000F59EB"/>
    <w:rsid w:val="000F5B20"/>
    <w:rsid w:val="00100288"/>
    <w:rsid w:val="0010392F"/>
    <w:rsid w:val="00105519"/>
    <w:rsid w:val="0010623F"/>
    <w:rsid w:val="001065D7"/>
    <w:rsid w:val="001118C5"/>
    <w:rsid w:val="00112F75"/>
    <w:rsid w:val="001132A9"/>
    <w:rsid w:val="00120607"/>
    <w:rsid w:val="00121173"/>
    <w:rsid w:val="001229D9"/>
    <w:rsid w:val="00124F4E"/>
    <w:rsid w:val="001257AB"/>
    <w:rsid w:val="001331DE"/>
    <w:rsid w:val="00133ECC"/>
    <w:rsid w:val="00134368"/>
    <w:rsid w:val="00134C74"/>
    <w:rsid w:val="00135F7C"/>
    <w:rsid w:val="001368E1"/>
    <w:rsid w:val="00140DA2"/>
    <w:rsid w:val="0014417E"/>
    <w:rsid w:val="0015027C"/>
    <w:rsid w:val="00150F79"/>
    <w:rsid w:val="001535A9"/>
    <w:rsid w:val="00153DE6"/>
    <w:rsid w:val="0015598C"/>
    <w:rsid w:val="00156061"/>
    <w:rsid w:val="00157310"/>
    <w:rsid w:val="00163132"/>
    <w:rsid w:val="00166D35"/>
    <w:rsid w:val="0017004F"/>
    <w:rsid w:val="001728D8"/>
    <w:rsid w:val="00173CDA"/>
    <w:rsid w:val="00174388"/>
    <w:rsid w:val="00177380"/>
    <w:rsid w:val="0017782D"/>
    <w:rsid w:val="00182E09"/>
    <w:rsid w:val="00183B9F"/>
    <w:rsid w:val="00183FA7"/>
    <w:rsid w:val="00185C97"/>
    <w:rsid w:val="001877D3"/>
    <w:rsid w:val="00187A6C"/>
    <w:rsid w:val="00195DC7"/>
    <w:rsid w:val="001A045E"/>
    <w:rsid w:val="001A1BBF"/>
    <w:rsid w:val="001A32CB"/>
    <w:rsid w:val="001A33C2"/>
    <w:rsid w:val="001A4B92"/>
    <w:rsid w:val="001A616E"/>
    <w:rsid w:val="001B042C"/>
    <w:rsid w:val="001B2686"/>
    <w:rsid w:val="001B40CC"/>
    <w:rsid w:val="001B4950"/>
    <w:rsid w:val="001C3115"/>
    <w:rsid w:val="001C6EB6"/>
    <w:rsid w:val="001D01A8"/>
    <w:rsid w:val="001D1156"/>
    <w:rsid w:val="001D14A9"/>
    <w:rsid w:val="001D39BC"/>
    <w:rsid w:val="001E015D"/>
    <w:rsid w:val="001E0F33"/>
    <w:rsid w:val="001E4DF8"/>
    <w:rsid w:val="001F1129"/>
    <w:rsid w:val="001F1FF4"/>
    <w:rsid w:val="001F27E0"/>
    <w:rsid w:val="001F4E24"/>
    <w:rsid w:val="002007C2"/>
    <w:rsid w:val="0020106B"/>
    <w:rsid w:val="00202683"/>
    <w:rsid w:val="002060E7"/>
    <w:rsid w:val="00210B0E"/>
    <w:rsid w:val="00210BCD"/>
    <w:rsid w:val="0021608E"/>
    <w:rsid w:val="00220D5A"/>
    <w:rsid w:val="00222C2D"/>
    <w:rsid w:val="002239AA"/>
    <w:rsid w:val="0022579F"/>
    <w:rsid w:val="002257D8"/>
    <w:rsid w:val="00226379"/>
    <w:rsid w:val="00226790"/>
    <w:rsid w:val="00227093"/>
    <w:rsid w:val="0023066B"/>
    <w:rsid w:val="00234A8B"/>
    <w:rsid w:val="00234E6D"/>
    <w:rsid w:val="002366D1"/>
    <w:rsid w:val="0024050B"/>
    <w:rsid w:val="00242783"/>
    <w:rsid w:val="00245D7F"/>
    <w:rsid w:val="002462B6"/>
    <w:rsid w:val="00250F68"/>
    <w:rsid w:val="00251FCB"/>
    <w:rsid w:val="00256E5A"/>
    <w:rsid w:val="00257C42"/>
    <w:rsid w:val="00257E04"/>
    <w:rsid w:val="00260D8E"/>
    <w:rsid w:val="00261B56"/>
    <w:rsid w:val="002623A3"/>
    <w:rsid w:val="00262A98"/>
    <w:rsid w:val="00262CEA"/>
    <w:rsid w:val="00263642"/>
    <w:rsid w:val="002643ED"/>
    <w:rsid w:val="00265865"/>
    <w:rsid w:val="00270EA7"/>
    <w:rsid w:val="00271A6F"/>
    <w:rsid w:val="00272435"/>
    <w:rsid w:val="00272BBA"/>
    <w:rsid w:val="00273019"/>
    <w:rsid w:val="002735E0"/>
    <w:rsid w:val="00274E7D"/>
    <w:rsid w:val="00277B1D"/>
    <w:rsid w:val="0028362C"/>
    <w:rsid w:val="00284DD3"/>
    <w:rsid w:val="00285C23"/>
    <w:rsid w:val="00290294"/>
    <w:rsid w:val="0029067B"/>
    <w:rsid w:val="00290ADB"/>
    <w:rsid w:val="00296D6F"/>
    <w:rsid w:val="002A201C"/>
    <w:rsid w:val="002A3574"/>
    <w:rsid w:val="002A4CFF"/>
    <w:rsid w:val="002A6B88"/>
    <w:rsid w:val="002B088D"/>
    <w:rsid w:val="002B2238"/>
    <w:rsid w:val="002B4B54"/>
    <w:rsid w:val="002B6198"/>
    <w:rsid w:val="002C05C8"/>
    <w:rsid w:val="002C5819"/>
    <w:rsid w:val="002C5A30"/>
    <w:rsid w:val="002C5D4A"/>
    <w:rsid w:val="002C5EEA"/>
    <w:rsid w:val="002C6BD9"/>
    <w:rsid w:val="002C6F75"/>
    <w:rsid w:val="002D1DD3"/>
    <w:rsid w:val="002D5D0F"/>
    <w:rsid w:val="002E0DEF"/>
    <w:rsid w:val="002E3E0B"/>
    <w:rsid w:val="002E4870"/>
    <w:rsid w:val="002E4EF5"/>
    <w:rsid w:val="002E5E19"/>
    <w:rsid w:val="002F36A6"/>
    <w:rsid w:val="002F44F5"/>
    <w:rsid w:val="002F464B"/>
    <w:rsid w:val="002F6E14"/>
    <w:rsid w:val="002F7FEE"/>
    <w:rsid w:val="0030373C"/>
    <w:rsid w:val="00307BCA"/>
    <w:rsid w:val="00313240"/>
    <w:rsid w:val="00321C23"/>
    <w:rsid w:val="003228BF"/>
    <w:rsid w:val="00322A34"/>
    <w:rsid w:val="00324B1B"/>
    <w:rsid w:val="0032616A"/>
    <w:rsid w:val="0033376C"/>
    <w:rsid w:val="00334EA4"/>
    <w:rsid w:val="00335475"/>
    <w:rsid w:val="00336499"/>
    <w:rsid w:val="0034258B"/>
    <w:rsid w:val="003504C3"/>
    <w:rsid w:val="0035111D"/>
    <w:rsid w:val="00356794"/>
    <w:rsid w:val="00356FA3"/>
    <w:rsid w:val="00357CA5"/>
    <w:rsid w:val="00357EFA"/>
    <w:rsid w:val="003619CB"/>
    <w:rsid w:val="00361EC4"/>
    <w:rsid w:val="0036239F"/>
    <w:rsid w:val="00364C1B"/>
    <w:rsid w:val="0036596D"/>
    <w:rsid w:val="00366AE4"/>
    <w:rsid w:val="0036747C"/>
    <w:rsid w:val="00367846"/>
    <w:rsid w:val="00367F4F"/>
    <w:rsid w:val="00371B80"/>
    <w:rsid w:val="00372647"/>
    <w:rsid w:val="00375E8D"/>
    <w:rsid w:val="0038032D"/>
    <w:rsid w:val="00380DB4"/>
    <w:rsid w:val="00383BBA"/>
    <w:rsid w:val="0038482C"/>
    <w:rsid w:val="00384AF3"/>
    <w:rsid w:val="00392AE1"/>
    <w:rsid w:val="00393CF0"/>
    <w:rsid w:val="00395EC5"/>
    <w:rsid w:val="00396ADF"/>
    <w:rsid w:val="00397722"/>
    <w:rsid w:val="003A07B9"/>
    <w:rsid w:val="003A21D9"/>
    <w:rsid w:val="003A3A5B"/>
    <w:rsid w:val="003A3D8D"/>
    <w:rsid w:val="003A59F1"/>
    <w:rsid w:val="003A5B8B"/>
    <w:rsid w:val="003B553B"/>
    <w:rsid w:val="003C2093"/>
    <w:rsid w:val="003C2711"/>
    <w:rsid w:val="003D3065"/>
    <w:rsid w:val="003D574A"/>
    <w:rsid w:val="003D5BBC"/>
    <w:rsid w:val="003D649A"/>
    <w:rsid w:val="003E07E7"/>
    <w:rsid w:val="003E2F7B"/>
    <w:rsid w:val="003E57AB"/>
    <w:rsid w:val="003E620F"/>
    <w:rsid w:val="003F21BA"/>
    <w:rsid w:val="003F2FB5"/>
    <w:rsid w:val="003F3106"/>
    <w:rsid w:val="003F4529"/>
    <w:rsid w:val="003F714D"/>
    <w:rsid w:val="00400B7D"/>
    <w:rsid w:val="004057D7"/>
    <w:rsid w:val="00405936"/>
    <w:rsid w:val="00406B6C"/>
    <w:rsid w:val="004074DF"/>
    <w:rsid w:val="0041037E"/>
    <w:rsid w:val="00410582"/>
    <w:rsid w:val="00411514"/>
    <w:rsid w:val="00411F12"/>
    <w:rsid w:val="0041352F"/>
    <w:rsid w:val="004137DF"/>
    <w:rsid w:val="00415501"/>
    <w:rsid w:val="004155DE"/>
    <w:rsid w:val="00422562"/>
    <w:rsid w:val="004247DC"/>
    <w:rsid w:val="0043159A"/>
    <w:rsid w:val="004325A8"/>
    <w:rsid w:val="00432619"/>
    <w:rsid w:val="004354C8"/>
    <w:rsid w:val="00437E3D"/>
    <w:rsid w:val="00443987"/>
    <w:rsid w:val="004440B2"/>
    <w:rsid w:val="004448EE"/>
    <w:rsid w:val="004472DE"/>
    <w:rsid w:val="0045286A"/>
    <w:rsid w:val="004538F1"/>
    <w:rsid w:val="004543C7"/>
    <w:rsid w:val="0046695B"/>
    <w:rsid w:val="00470B17"/>
    <w:rsid w:val="00471F77"/>
    <w:rsid w:val="004756D0"/>
    <w:rsid w:val="00480A26"/>
    <w:rsid w:val="00485E9B"/>
    <w:rsid w:val="0048691D"/>
    <w:rsid w:val="00490B7C"/>
    <w:rsid w:val="0049127A"/>
    <w:rsid w:val="00496356"/>
    <w:rsid w:val="00496D28"/>
    <w:rsid w:val="004A060F"/>
    <w:rsid w:val="004A1586"/>
    <w:rsid w:val="004A293F"/>
    <w:rsid w:val="004A365B"/>
    <w:rsid w:val="004A3C50"/>
    <w:rsid w:val="004A4469"/>
    <w:rsid w:val="004B1181"/>
    <w:rsid w:val="004B4658"/>
    <w:rsid w:val="004B559A"/>
    <w:rsid w:val="004B7F39"/>
    <w:rsid w:val="004C0AE2"/>
    <w:rsid w:val="004C3C7A"/>
    <w:rsid w:val="004C4B38"/>
    <w:rsid w:val="004C6655"/>
    <w:rsid w:val="004D1230"/>
    <w:rsid w:val="004D1802"/>
    <w:rsid w:val="004D2632"/>
    <w:rsid w:val="004D2EBB"/>
    <w:rsid w:val="004D387C"/>
    <w:rsid w:val="004D41EC"/>
    <w:rsid w:val="004D563C"/>
    <w:rsid w:val="004D79A1"/>
    <w:rsid w:val="004E089C"/>
    <w:rsid w:val="004E7C67"/>
    <w:rsid w:val="004F0212"/>
    <w:rsid w:val="004F51F6"/>
    <w:rsid w:val="00502A58"/>
    <w:rsid w:val="005037D3"/>
    <w:rsid w:val="00503D94"/>
    <w:rsid w:val="005047E4"/>
    <w:rsid w:val="005049C1"/>
    <w:rsid w:val="0050619A"/>
    <w:rsid w:val="0050690F"/>
    <w:rsid w:val="00507E85"/>
    <w:rsid w:val="00511491"/>
    <w:rsid w:val="005117E8"/>
    <w:rsid w:val="005148D9"/>
    <w:rsid w:val="00515A5B"/>
    <w:rsid w:val="005213AF"/>
    <w:rsid w:val="00523880"/>
    <w:rsid w:val="005254B9"/>
    <w:rsid w:val="0052691F"/>
    <w:rsid w:val="00534E31"/>
    <w:rsid w:val="00536CF0"/>
    <w:rsid w:val="00540D3E"/>
    <w:rsid w:val="00541E8A"/>
    <w:rsid w:val="00542BEE"/>
    <w:rsid w:val="00545D3E"/>
    <w:rsid w:val="00545E28"/>
    <w:rsid w:val="00551EA6"/>
    <w:rsid w:val="005530BE"/>
    <w:rsid w:val="005556CB"/>
    <w:rsid w:val="00555E29"/>
    <w:rsid w:val="005630A4"/>
    <w:rsid w:val="00563A47"/>
    <w:rsid w:val="00566C48"/>
    <w:rsid w:val="005702E5"/>
    <w:rsid w:val="00572418"/>
    <w:rsid w:val="00572647"/>
    <w:rsid w:val="00577095"/>
    <w:rsid w:val="005776F3"/>
    <w:rsid w:val="00577BA9"/>
    <w:rsid w:val="005805BD"/>
    <w:rsid w:val="00580F1B"/>
    <w:rsid w:val="005832AC"/>
    <w:rsid w:val="00583951"/>
    <w:rsid w:val="005854AE"/>
    <w:rsid w:val="00586C0A"/>
    <w:rsid w:val="0058737A"/>
    <w:rsid w:val="005917C5"/>
    <w:rsid w:val="00592B18"/>
    <w:rsid w:val="00595D93"/>
    <w:rsid w:val="00595F2C"/>
    <w:rsid w:val="005979B2"/>
    <w:rsid w:val="005A28EE"/>
    <w:rsid w:val="005A4C67"/>
    <w:rsid w:val="005A70AE"/>
    <w:rsid w:val="005A7653"/>
    <w:rsid w:val="005B3834"/>
    <w:rsid w:val="005B38CE"/>
    <w:rsid w:val="005B53AE"/>
    <w:rsid w:val="005B5735"/>
    <w:rsid w:val="005B5C55"/>
    <w:rsid w:val="005B6B94"/>
    <w:rsid w:val="005B77B2"/>
    <w:rsid w:val="005C314F"/>
    <w:rsid w:val="005C5C6C"/>
    <w:rsid w:val="005C7CCA"/>
    <w:rsid w:val="005D1E2F"/>
    <w:rsid w:val="005D296A"/>
    <w:rsid w:val="005D4807"/>
    <w:rsid w:val="005D577C"/>
    <w:rsid w:val="005D727E"/>
    <w:rsid w:val="005D73B5"/>
    <w:rsid w:val="005E4B79"/>
    <w:rsid w:val="005F26D2"/>
    <w:rsid w:val="005F2D00"/>
    <w:rsid w:val="005F4024"/>
    <w:rsid w:val="0060294A"/>
    <w:rsid w:val="006031A8"/>
    <w:rsid w:val="0060541E"/>
    <w:rsid w:val="0060688E"/>
    <w:rsid w:val="0060771E"/>
    <w:rsid w:val="00607B0F"/>
    <w:rsid w:val="00607FCC"/>
    <w:rsid w:val="00612A9E"/>
    <w:rsid w:val="00617C5B"/>
    <w:rsid w:val="00621AE4"/>
    <w:rsid w:val="00622199"/>
    <w:rsid w:val="0062596D"/>
    <w:rsid w:val="0062645B"/>
    <w:rsid w:val="00627229"/>
    <w:rsid w:val="00631AFC"/>
    <w:rsid w:val="006327A6"/>
    <w:rsid w:val="00634132"/>
    <w:rsid w:val="0063492B"/>
    <w:rsid w:val="00635C06"/>
    <w:rsid w:val="00636200"/>
    <w:rsid w:val="00636C1F"/>
    <w:rsid w:val="00644207"/>
    <w:rsid w:val="00644304"/>
    <w:rsid w:val="006457EA"/>
    <w:rsid w:val="00651E00"/>
    <w:rsid w:val="00655BBE"/>
    <w:rsid w:val="00657583"/>
    <w:rsid w:val="0065762F"/>
    <w:rsid w:val="006625CF"/>
    <w:rsid w:val="00662E73"/>
    <w:rsid w:val="00662F4E"/>
    <w:rsid w:val="00664A40"/>
    <w:rsid w:val="00666148"/>
    <w:rsid w:val="00666B7F"/>
    <w:rsid w:val="00672C44"/>
    <w:rsid w:val="00673907"/>
    <w:rsid w:val="006767D2"/>
    <w:rsid w:val="00676918"/>
    <w:rsid w:val="00682728"/>
    <w:rsid w:val="00683DA1"/>
    <w:rsid w:val="00683EED"/>
    <w:rsid w:val="0068405F"/>
    <w:rsid w:val="00684261"/>
    <w:rsid w:val="00684E16"/>
    <w:rsid w:val="00684FD7"/>
    <w:rsid w:val="006855C2"/>
    <w:rsid w:val="00685680"/>
    <w:rsid w:val="00686998"/>
    <w:rsid w:val="006908D7"/>
    <w:rsid w:val="00691084"/>
    <w:rsid w:val="0069109F"/>
    <w:rsid w:val="0069202F"/>
    <w:rsid w:val="00696993"/>
    <w:rsid w:val="006A0E88"/>
    <w:rsid w:val="006A3249"/>
    <w:rsid w:val="006A4466"/>
    <w:rsid w:val="006A6969"/>
    <w:rsid w:val="006A6A74"/>
    <w:rsid w:val="006A70BF"/>
    <w:rsid w:val="006A7498"/>
    <w:rsid w:val="006B0F0E"/>
    <w:rsid w:val="006B2302"/>
    <w:rsid w:val="006B33D5"/>
    <w:rsid w:val="006B471B"/>
    <w:rsid w:val="006B61CF"/>
    <w:rsid w:val="006C03B7"/>
    <w:rsid w:val="006C1556"/>
    <w:rsid w:val="006C22A2"/>
    <w:rsid w:val="006C3AE8"/>
    <w:rsid w:val="006C3C3B"/>
    <w:rsid w:val="006C51B7"/>
    <w:rsid w:val="006C5A10"/>
    <w:rsid w:val="006C7870"/>
    <w:rsid w:val="006D08DF"/>
    <w:rsid w:val="006E555E"/>
    <w:rsid w:val="006E63DE"/>
    <w:rsid w:val="006F3F5C"/>
    <w:rsid w:val="006F5248"/>
    <w:rsid w:val="006F64D5"/>
    <w:rsid w:val="00700399"/>
    <w:rsid w:val="00701ED7"/>
    <w:rsid w:val="00704C3D"/>
    <w:rsid w:val="007054AF"/>
    <w:rsid w:val="0071025F"/>
    <w:rsid w:val="00711097"/>
    <w:rsid w:val="007114E9"/>
    <w:rsid w:val="00711CB8"/>
    <w:rsid w:val="0071240B"/>
    <w:rsid w:val="00712CCD"/>
    <w:rsid w:val="00717CE2"/>
    <w:rsid w:val="0072073D"/>
    <w:rsid w:val="00721460"/>
    <w:rsid w:val="007223D7"/>
    <w:rsid w:val="00727EB4"/>
    <w:rsid w:val="00732F94"/>
    <w:rsid w:val="00736D0F"/>
    <w:rsid w:val="007376A2"/>
    <w:rsid w:val="00741BCA"/>
    <w:rsid w:val="00741D3A"/>
    <w:rsid w:val="00742A5D"/>
    <w:rsid w:val="00745ED4"/>
    <w:rsid w:val="0075220E"/>
    <w:rsid w:val="00753611"/>
    <w:rsid w:val="00760272"/>
    <w:rsid w:val="00763350"/>
    <w:rsid w:val="00763A3D"/>
    <w:rsid w:val="00763ABE"/>
    <w:rsid w:val="00764253"/>
    <w:rsid w:val="00764F16"/>
    <w:rsid w:val="00772CB9"/>
    <w:rsid w:val="00780B40"/>
    <w:rsid w:val="007818D1"/>
    <w:rsid w:val="0078216D"/>
    <w:rsid w:val="00783FAB"/>
    <w:rsid w:val="00787FBD"/>
    <w:rsid w:val="007943E7"/>
    <w:rsid w:val="007944A3"/>
    <w:rsid w:val="00797DF1"/>
    <w:rsid w:val="007A14E5"/>
    <w:rsid w:val="007A1B8A"/>
    <w:rsid w:val="007A2911"/>
    <w:rsid w:val="007A4B49"/>
    <w:rsid w:val="007A5A23"/>
    <w:rsid w:val="007A61DA"/>
    <w:rsid w:val="007A7BA6"/>
    <w:rsid w:val="007B0023"/>
    <w:rsid w:val="007B16A9"/>
    <w:rsid w:val="007B2589"/>
    <w:rsid w:val="007B777B"/>
    <w:rsid w:val="007C05D1"/>
    <w:rsid w:val="007C0AB5"/>
    <w:rsid w:val="007C381D"/>
    <w:rsid w:val="007C38FC"/>
    <w:rsid w:val="007C3E45"/>
    <w:rsid w:val="007C5263"/>
    <w:rsid w:val="007D4CE8"/>
    <w:rsid w:val="007D5330"/>
    <w:rsid w:val="007D5E6C"/>
    <w:rsid w:val="007D5E7F"/>
    <w:rsid w:val="007D7280"/>
    <w:rsid w:val="007D7915"/>
    <w:rsid w:val="007E034D"/>
    <w:rsid w:val="007E1A98"/>
    <w:rsid w:val="007E4B49"/>
    <w:rsid w:val="007E4F3D"/>
    <w:rsid w:val="007E5324"/>
    <w:rsid w:val="007E5EC4"/>
    <w:rsid w:val="007E6EE3"/>
    <w:rsid w:val="007E7205"/>
    <w:rsid w:val="007E779F"/>
    <w:rsid w:val="007F531A"/>
    <w:rsid w:val="007F7112"/>
    <w:rsid w:val="007F718A"/>
    <w:rsid w:val="008021D1"/>
    <w:rsid w:val="00803B0A"/>
    <w:rsid w:val="00803E42"/>
    <w:rsid w:val="00807D7F"/>
    <w:rsid w:val="00810968"/>
    <w:rsid w:val="008119E5"/>
    <w:rsid w:val="00813178"/>
    <w:rsid w:val="00815966"/>
    <w:rsid w:val="00816337"/>
    <w:rsid w:val="0081762B"/>
    <w:rsid w:val="00817B01"/>
    <w:rsid w:val="00820D57"/>
    <w:rsid w:val="008212CA"/>
    <w:rsid w:val="0082161A"/>
    <w:rsid w:val="00821BE3"/>
    <w:rsid w:val="0082215D"/>
    <w:rsid w:val="008228C3"/>
    <w:rsid w:val="00822A55"/>
    <w:rsid w:val="008344D9"/>
    <w:rsid w:val="00836A86"/>
    <w:rsid w:val="00836F30"/>
    <w:rsid w:val="0084488E"/>
    <w:rsid w:val="00845143"/>
    <w:rsid w:val="00846FEF"/>
    <w:rsid w:val="00851375"/>
    <w:rsid w:val="008532F5"/>
    <w:rsid w:val="0085415D"/>
    <w:rsid w:val="008547EA"/>
    <w:rsid w:val="00855AA3"/>
    <w:rsid w:val="00857526"/>
    <w:rsid w:val="00861818"/>
    <w:rsid w:val="00863439"/>
    <w:rsid w:val="00863461"/>
    <w:rsid w:val="008661EC"/>
    <w:rsid w:val="0087131F"/>
    <w:rsid w:val="008752F9"/>
    <w:rsid w:val="008802E0"/>
    <w:rsid w:val="008806E3"/>
    <w:rsid w:val="0088152E"/>
    <w:rsid w:val="00886617"/>
    <w:rsid w:val="00887C28"/>
    <w:rsid w:val="0089065C"/>
    <w:rsid w:val="00890CA2"/>
    <w:rsid w:val="00891BA4"/>
    <w:rsid w:val="00897AEF"/>
    <w:rsid w:val="008A0D9D"/>
    <w:rsid w:val="008A0FD0"/>
    <w:rsid w:val="008A2107"/>
    <w:rsid w:val="008A64CD"/>
    <w:rsid w:val="008B09B5"/>
    <w:rsid w:val="008B1A0C"/>
    <w:rsid w:val="008B65AA"/>
    <w:rsid w:val="008B7075"/>
    <w:rsid w:val="008C304B"/>
    <w:rsid w:val="008C3356"/>
    <w:rsid w:val="008C391C"/>
    <w:rsid w:val="008C6598"/>
    <w:rsid w:val="008D3410"/>
    <w:rsid w:val="008D3D77"/>
    <w:rsid w:val="008D65B1"/>
    <w:rsid w:val="008D79BD"/>
    <w:rsid w:val="008E2D5D"/>
    <w:rsid w:val="008E3D7E"/>
    <w:rsid w:val="008E4665"/>
    <w:rsid w:val="008E52CD"/>
    <w:rsid w:val="008E727C"/>
    <w:rsid w:val="008E779B"/>
    <w:rsid w:val="008F0B86"/>
    <w:rsid w:val="008F1B10"/>
    <w:rsid w:val="008F6B92"/>
    <w:rsid w:val="008F7844"/>
    <w:rsid w:val="00901F23"/>
    <w:rsid w:val="0090259C"/>
    <w:rsid w:val="009036DB"/>
    <w:rsid w:val="00903D8A"/>
    <w:rsid w:val="00907E49"/>
    <w:rsid w:val="00913227"/>
    <w:rsid w:val="00915D05"/>
    <w:rsid w:val="00917711"/>
    <w:rsid w:val="00921662"/>
    <w:rsid w:val="00922F30"/>
    <w:rsid w:val="0092636F"/>
    <w:rsid w:val="0093418A"/>
    <w:rsid w:val="00940D1C"/>
    <w:rsid w:val="009410AD"/>
    <w:rsid w:val="00941B8D"/>
    <w:rsid w:val="00942D3F"/>
    <w:rsid w:val="00946FD8"/>
    <w:rsid w:val="00947F7E"/>
    <w:rsid w:val="00951A7F"/>
    <w:rsid w:val="00961F6C"/>
    <w:rsid w:val="00966E65"/>
    <w:rsid w:val="0097087F"/>
    <w:rsid w:val="0097121E"/>
    <w:rsid w:val="00971D77"/>
    <w:rsid w:val="00972E2E"/>
    <w:rsid w:val="0097329E"/>
    <w:rsid w:val="00973885"/>
    <w:rsid w:val="00975362"/>
    <w:rsid w:val="00977DA9"/>
    <w:rsid w:val="00977DCF"/>
    <w:rsid w:val="0098151C"/>
    <w:rsid w:val="009914B0"/>
    <w:rsid w:val="009919F3"/>
    <w:rsid w:val="00995F0E"/>
    <w:rsid w:val="00996E86"/>
    <w:rsid w:val="009A09C4"/>
    <w:rsid w:val="009A3BA2"/>
    <w:rsid w:val="009A472E"/>
    <w:rsid w:val="009B1DB1"/>
    <w:rsid w:val="009B2CF9"/>
    <w:rsid w:val="009B4258"/>
    <w:rsid w:val="009B5A2E"/>
    <w:rsid w:val="009B704A"/>
    <w:rsid w:val="009C11B5"/>
    <w:rsid w:val="009C4562"/>
    <w:rsid w:val="009C45A4"/>
    <w:rsid w:val="009C4E74"/>
    <w:rsid w:val="009C5D35"/>
    <w:rsid w:val="009C73B5"/>
    <w:rsid w:val="009D1B61"/>
    <w:rsid w:val="009D2592"/>
    <w:rsid w:val="009D7131"/>
    <w:rsid w:val="009E4E61"/>
    <w:rsid w:val="009E5335"/>
    <w:rsid w:val="009E5C62"/>
    <w:rsid w:val="009F1E47"/>
    <w:rsid w:val="009F4593"/>
    <w:rsid w:val="009F46BF"/>
    <w:rsid w:val="009F4B73"/>
    <w:rsid w:val="009F6132"/>
    <w:rsid w:val="009F68CB"/>
    <w:rsid w:val="009F6902"/>
    <w:rsid w:val="009F6D73"/>
    <w:rsid w:val="00A02898"/>
    <w:rsid w:val="00A031C0"/>
    <w:rsid w:val="00A106B8"/>
    <w:rsid w:val="00A1133D"/>
    <w:rsid w:val="00A125AA"/>
    <w:rsid w:val="00A137E8"/>
    <w:rsid w:val="00A14A3B"/>
    <w:rsid w:val="00A14AEA"/>
    <w:rsid w:val="00A159F1"/>
    <w:rsid w:val="00A1785A"/>
    <w:rsid w:val="00A21E93"/>
    <w:rsid w:val="00A26E12"/>
    <w:rsid w:val="00A26F38"/>
    <w:rsid w:val="00A274A4"/>
    <w:rsid w:val="00A27DAC"/>
    <w:rsid w:val="00A3100B"/>
    <w:rsid w:val="00A317D1"/>
    <w:rsid w:val="00A324D0"/>
    <w:rsid w:val="00A33A88"/>
    <w:rsid w:val="00A33B49"/>
    <w:rsid w:val="00A34044"/>
    <w:rsid w:val="00A340E6"/>
    <w:rsid w:val="00A348FA"/>
    <w:rsid w:val="00A368E6"/>
    <w:rsid w:val="00A37C21"/>
    <w:rsid w:val="00A40D7B"/>
    <w:rsid w:val="00A4402D"/>
    <w:rsid w:val="00A44F34"/>
    <w:rsid w:val="00A4508F"/>
    <w:rsid w:val="00A458FA"/>
    <w:rsid w:val="00A53420"/>
    <w:rsid w:val="00A554DD"/>
    <w:rsid w:val="00A559A4"/>
    <w:rsid w:val="00A56BF4"/>
    <w:rsid w:val="00A57E64"/>
    <w:rsid w:val="00A602E3"/>
    <w:rsid w:val="00A60446"/>
    <w:rsid w:val="00A61CAD"/>
    <w:rsid w:val="00A65910"/>
    <w:rsid w:val="00A67B1E"/>
    <w:rsid w:val="00A70BAC"/>
    <w:rsid w:val="00A73C55"/>
    <w:rsid w:val="00A747A6"/>
    <w:rsid w:val="00A74ACB"/>
    <w:rsid w:val="00A74C54"/>
    <w:rsid w:val="00A75CC1"/>
    <w:rsid w:val="00A8186B"/>
    <w:rsid w:val="00A81D17"/>
    <w:rsid w:val="00A82421"/>
    <w:rsid w:val="00A8416F"/>
    <w:rsid w:val="00A85676"/>
    <w:rsid w:val="00A85AC5"/>
    <w:rsid w:val="00A8609E"/>
    <w:rsid w:val="00A90093"/>
    <w:rsid w:val="00A918F7"/>
    <w:rsid w:val="00A93B86"/>
    <w:rsid w:val="00A94780"/>
    <w:rsid w:val="00A97290"/>
    <w:rsid w:val="00A97DF6"/>
    <w:rsid w:val="00AA3D0D"/>
    <w:rsid w:val="00AA5793"/>
    <w:rsid w:val="00AB1213"/>
    <w:rsid w:val="00AB5540"/>
    <w:rsid w:val="00AB556E"/>
    <w:rsid w:val="00AB6808"/>
    <w:rsid w:val="00AB6DF3"/>
    <w:rsid w:val="00AC159B"/>
    <w:rsid w:val="00AC289E"/>
    <w:rsid w:val="00AC47F7"/>
    <w:rsid w:val="00AC545C"/>
    <w:rsid w:val="00AC7A85"/>
    <w:rsid w:val="00AD0B6F"/>
    <w:rsid w:val="00AD35EC"/>
    <w:rsid w:val="00AD5759"/>
    <w:rsid w:val="00AD692F"/>
    <w:rsid w:val="00AD70AF"/>
    <w:rsid w:val="00AD7CF7"/>
    <w:rsid w:val="00AE0DFE"/>
    <w:rsid w:val="00AE192D"/>
    <w:rsid w:val="00AE338F"/>
    <w:rsid w:val="00AE5D4A"/>
    <w:rsid w:val="00AE7103"/>
    <w:rsid w:val="00AE76DB"/>
    <w:rsid w:val="00AF211A"/>
    <w:rsid w:val="00AF57F9"/>
    <w:rsid w:val="00AF76F0"/>
    <w:rsid w:val="00AF7D28"/>
    <w:rsid w:val="00B00C43"/>
    <w:rsid w:val="00B02436"/>
    <w:rsid w:val="00B059D9"/>
    <w:rsid w:val="00B06C5A"/>
    <w:rsid w:val="00B06E7A"/>
    <w:rsid w:val="00B16F26"/>
    <w:rsid w:val="00B238E3"/>
    <w:rsid w:val="00B25500"/>
    <w:rsid w:val="00B26405"/>
    <w:rsid w:val="00B27628"/>
    <w:rsid w:val="00B304C6"/>
    <w:rsid w:val="00B3086D"/>
    <w:rsid w:val="00B30DFE"/>
    <w:rsid w:val="00B411BB"/>
    <w:rsid w:val="00B4242E"/>
    <w:rsid w:val="00B424C9"/>
    <w:rsid w:val="00B43694"/>
    <w:rsid w:val="00B45DBB"/>
    <w:rsid w:val="00B50458"/>
    <w:rsid w:val="00B527F2"/>
    <w:rsid w:val="00B52C57"/>
    <w:rsid w:val="00B557C4"/>
    <w:rsid w:val="00B57012"/>
    <w:rsid w:val="00B601F6"/>
    <w:rsid w:val="00B6146B"/>
    <w:rsid w:val="00B61E83"/>
    <w:rsid w:val="00B6408A"/>
    <w:rsid w:val="00B703F7"/>
    <w:rsid w:val="00B73098"/>
    <w:rsid w:val="00B73F65"/>
    <w:rsid w:val="00B74DB8"/>
    <w:rsid w:val="00B7586A"/>
    <w:rsid w:val="00B7708E"/>
    <w:rsid w:val="00B834E8"/>
    <w:rsid w:val="00B83976"/>
    <w:rsid w:val="00B8496F"/>
    <w:rsid w:val="00B84E16"/>
    <w:rsid w:val="00B853ED"/>
    <w:rsid w:val="00B85519"/>
    <w:rsid w:val="00B865C7"/>
    <w:rsid w:val="00B86F40"/>
    <w:rsid w:val="00B903F9"/>
    <w:rsid w:val="00B90FD1"/>
    <w:rsid w:val="00B92B20"/>
    <w:rsid w:val="00B93331"/>
    <w:rsid w:val="00B95808"/>
    <w:rsid w:val="00B95DD9"/>
    <w:rsid w:val="00BA0A36"/>
    <w:rsid w:val="00BA3506"/>
    <w:rsid w:val="00BA41C6"/>
    <w:rsid w:val="00BA5C86"/>
    <w:rsid w:val="00BA5D3B"/>
    <w:rsid w:val="00BB244D"/>
    <w:rsid w:val="00BB2DF2"/>
    <w:rsid w:val="00BB377E"/>
    <w:rsid w:val="00BB3D83"/>
    <w:rsid w:val="00BB7D42"/>
    <w:rsid w:val="00BC5155"/>
    <w:rsid w:val="00BC5590"/>
    <w:rsid w:val="00BC5956"/>
    <w:rsid w:val="00BD1759"/>
    <w:rsid w:val="00BD182E"/>
    <w:rsid w:val="00BD28A3"/>
    <w:rsid w:val="00BD309F"/>
    <w:rsid w:val="00BD6963"/>
    <w:rsid w:val="00BE0509"/>
    <w:rsid w:val="00BE24A9"/>
    <w:rsid w:val="00BE40E5"/>
    <w:rsid w:val="00BE6110"/>
    <w:rsid w:val="00BE6D35"/>
    <w:rsid w:val="00C05064"/>
    <w:rsid w:val="00C06761"/>
    <w:rsid w:val="00C072E1"/>
    <w:rsid w:val="00C12EB2"/>
    <w:rsid w:val="00C164BD"/>
    <w:rsid w:val="00C16F0B"/>
    <w:rsid w:val="00C204AD"/>
    <w:rsid w:val="00C21513"/>
    <w:rsid w:val="00C230CA"/>
    <w:rsid w:val="00C231D2"/>
    <w:rsid w:val="00C25125"/>
    <w:rsid w:val="00C26088"/>
    <w:rsid w:val="00C27E8C"/>
    <w:rsid w:val="00C30FB5"/>
    <w:rsid w:val="00C3221F"/>
    <w:rsid w:val="00C34F3E"/>
    <w:rsid w:val="00C35363"/>
    <w:rsid w:val="00C37E50"/>
    <w:rsid w:val="00C402B4"/>
    <w:rsid w:val="00C40998"/>
    <w:rsid w:val="00C412D1"/>
    <w:rsid w:val="00C41890"/>
    <w:rsid w:val="00C41A3F"/>
    <w:rsid w:val="00C425DC"/>
    <w:rsid w:val="00C438CB"/>
    <w:rsid w:val="00C43AE9"/>
    <w:rsid w:val="00C454C4"/>
    <w:rsid w:val="00C47991"/>
    <w:rsid w:val="00C54973"/>
    <w:rsid w:val="00C55E05"/>
    <w:rsid w:val="00C570CF"/>
    <w:rsid w:val="00C57A2D"/>
    <w:rsid w:val="00C61929"/>
    <w:rsid w:val="00C61CDF"/>
    <w:rsid w:val="00C61FB7"/>
    <w:rsid w:val="00C62435"/>
    <w:rsid w:val="00C63AFB"/>
    <w:rsid w:val="00C63B6A"/>
    <w:rsid w:val="00C63B79"/>
    <w:rsid w:val="00C656D6"/>
    <w:rsid w:val="00C66F87"/>
    <w:rsid w:val="00C67D95"/>
    <w:rsid w:val="00C81134"/>
    <w:rsid w:val="00C81931"/>
    <w:rsid w:val="00C81D97"/>
    <w:rsid w:val="00C8238D"/>
    <w:rsid w:val="00C8481C"/>
    <w:rsid w:val="00C86BD0"/>
    <w:rsid w:val="00C87C25"/>
    <w:rsid w:val="00C9000B"/>
    <w:rsid w:val="00C90357"/>
    <w:rsid w:val="00C96D70"/>
    <w:rsid w:val="00CA37E6"/>
    <w:rsid w:val="00CB05EE"/>
    <w:rsid w:val="00CB5CAB"/>
    <w:rsid w:val="00CC004D"/>
    <w:rsid w:val="00CC178E"/>
    <w:rsid w:val="00CD1C61"/>
    <w:rsid w:val="00CD45C5"/>
    <w:rsid w:val="00CD79E6"/>
    <w:rsid w:val="00CE217B"/>
    <w:rsid w:val="00CE2AD2"/>
    <w:rsid w:val="00CE346E"/>
    <w:rsid w:val="00CE3675"/>
    <w:rsid w:val="00CE3C15"/>
    <w:rsid w:val="00CE516D"/>
    <w:rsid w:val="00CF3091"/>
    <w:rsid w:val="00CF4CD3"/>
    <w:rsid w:val="00CF4FC1"/>
    <w:rsid w:val="00CF6B08"/>
    <w:rsid w:val="00CF73EF"/>
    <w:rsid w:val="00D00113"/>
    <w:rsid w:val="00D0067F"/>
    <w:rsid w:val="00D00FDA"/>
    <w:rsid w:val="00D01D3B"/>
    <w:rsid w:val="00D02DC0"/>
    <w:rsid w:val="00D04459"/>
    <w:rsid w:val="00D05F02"/>
    <w:rsid w:val="00D06D4A"/>
    <w:rsid w:val="00D071C5"/>
    <w:rsid w:val="00D1051E"/>
    <w:rsid w:val="00D11C13"/>
    <w:rsid w:val="00D11D2D"/>
    <w:rsid w:val="00D17037"/>
    <w:rsid w:val="00D17961"/>
    <w:rsid w:val="00D201F2"/>
    <w:rsid w:val="00D21CD0"/>
    <w:rsid w:val="00D230E5"/>
    <w:rsid w:val="00D2707C"/>
    <w:rsid w:val="00D2713A"/>
    <w:rsid w:val="00D272C2"/>
    <w:rsid w:val="00D30AED"/>
    <w:rsid w:val="00D33A63"/>
    <w:rsid w:val="00D33EDD"/>
    <w:rsid w:val="00D34FBF"/>
    <w:rsid w:val="00D36BD5"/>
    <w:rsid w:val="00D403B2"/>
    <w:rsid w:val="00D417EC"/>
    <w:rsid w:val="00D42A5A"/>
    <w:rsid w:val="00D50895"/>
    <w:rsid w:val="00D53DB5"/>
    <w:rsid w:val="00D56ED7"/>
    <w:rsid w:val="00D61D8B"/>
    <w:rsid w:val="00D620CD"/>
    <w:rsid w:val="00D625EE"/>
    <w:rsid w:val="00D62D59"/>
    <w:rsid w:val="00D636B0"/>
    <w:rsid w:val="00D663A1"/>
    <w:rsid w:val="00D7031B"/>
    <w:rsid w:val="00D722FC"/>
    <w:rsid w:val="00D769F4"/>
    <w:rsid w:val="00D774DD"/>
    <w:rsid w:val="00D77D65"/>
    <w:rsid w:val="00D80670"/>
    <w:rsid w:val="00D810B5"/>
    <w:rsid w:val="00D82A01"/>
    <w:rsid w:val="00D839D9"/>
    <w:rsid w:val="00D83C76"/>
    <w:rsid w:val="00D8556E"/>
    <w:rsid w:val="00D92D39"/>
    <w:rsid w:val="00D95341"/>
    <w:rsid w:val="00DA01D3"/>
    <w:rsid w:val="00DA03B8"/>
    <w:rsid w:val="00DA0CC3"/>
    <w:rsid w:val="00DA1062"/>
    <w:rsid w:val="00DA5AB7"/>
    <w:rsid w:val="00DA5DC7"/>
    <w:rsid w:val="00DA6405"/>
    <w:rsid w:val="00DA74C3"/>
    <w:rsid w:val="00DB04D4"/>
    <w:rsid w:val="00DB34A0"/>
    <w:rsid w:val="00DC525C"/>
    <w:rsid w:val="00DC5F10"/>
    <w:rsid w:val="00DC5FC6"/>
    <w:rsid w:val="00DC6722"/>
    <w:rsid w:val="00DC7673"/>
    <w:rsid w:val="00DD003B"/>
    <w:rsid w:val="00DD083F"/>
    <w:rsid w:val="00DD409D"/>
    <w:rsid w:val="00DD4426"/>
    <w:rsid w:val="00DD6C01"/>
    <w:rsid w:val="00DE3D8C"/>
    <w:rsid w:val="00DE45D0"/>
    <w:rsid w:val="00DF0A74"/>
    <w:rsid w:val="00DF0E5B"/>
    <w:rsid w:val="00DF262E"/>
    <w:rsid w:val="00DF5C0D"/>
    <w:rsid w:val="00DF6483"/>
    <w:rsid w:val="00E0034A"/>
    <w:rsid w:val="00E00CC1"/>
    <w:rsid w:val="00E018D8"/>
    <w:rsid w:val="00E03B0D"/>
    <w:rsid w:val="00E05ED0"/>
    <w:rsid w:val="00E06684"/>
    <w:rsid w:val="00E07430"/>
    <w:rsid w:val="00E1456E"/>
    <w:rsid w:val="00E14E85"/>
    <w:rsid w:val="00E16132"/>
    <w:rsid w:val="00E16C92"/>
    <w:rsid w:val="00E173FF"/>
    <w:rsid w:val="00E220BC"/>
    <w:rsid w:val="00E23526"/>
    <w:rsid w:val="00E2362D"/>
    <w:rsid w:val="00E23A9D"/>
    <w:rsid w:val="00E3066F"/>
    <w:rsid w:val="00E30B89"/>
    <w:rsid w:val="00E3157B"/>
    <w:rsid w:val="00E31939"/>
    <w:rsid w:val="00E31B29"/>
    <w:rsid w:val="00E35EC6"/>
    <w:rsid w:val="00E425D2"/>
    <w:rsid w:val="00E50F77"/>
    <w:rsid w:val="00E538B4"/>
    <w:rsid w:val="00E53F84"/>
    <w:rsid w:val="00E55F90"/>
    <w:rsid w:val="00E57A12"/>
    <w:rsid w:val="00E62380"/>
    <w:rsid w:val="00E6344F"/>
    <w:rsid w:val="00E64B35"/>
    <w:rsid w:val="00E701FC"/>
    <w:rsid w:val="00E740BB"/>
    <w:rsid w:val="00E771C9"/>
    <w:rsid w:val="00E7754A"/>
    <w:rsid w:val="00E777FD"/>
    <w:rsid w:val="00E77E4C"/>
    <w:rsid w:val="00E80640"/>
    <w:rsid w:val="00E81ABF"/>
    <w:rsid w:val="00E851FE"/>
    <w:rsid w:val="00E85A4C"/>
    <w:rsid w:val="00E90B9D"/>
    <w:rsid w:val="00E918F1"/>
    <w:rsid w:val="00E94578"/>
    <w:rsid w:val="00E96AF7"/>
    <w:rsid w:val="00E97444"/>
    <w:rsid w:val="00E97633"/>
    <w:rsid w:val="00E977CC"/>
    <w:rsid w:val="00EB0CE3"/>
    <w:rsid w:val="00EB156D"/>
    <w:rsid w:val="00EB4A07"/>
    <w:rsid w:val="00EB4CBD"/>
    <w:rsid w:val="00EB581F"/>
    <w:rsid w:val="00EB711B"/>
    <w:rsid w:val="00EB7A31"/>
    <w:rsid w:val="00EC281B"/>
    <w:rsid w:val="00EC4656"/>
    <w:rsid w:val="00ED0E69"/>
    <w:rsid w:val="00EE4DA9"/>
    <w:rsid w:val="00EE4FA5"/>
    <w:rsid w:val="00EF0B0A"/>
    <w:rsid w:val="00EF14DF"/>
    <w:rsid w:val="00EF1D9F"/>
    <w:rsid w:val="00EF4747"/>
    <w:rsid w:val="00EF4A42"/>
    <w:rsid w:val="00EF5D76"/>
    <w:rsid w:val="00EF6757"/>
    <w:rsid w:val="00F00043"/>
    <w:rsid w:val="00F00DA1"/>
    <w:rsid w:val="00F01CB1"/>
    <w:rsid w:val="00F0329D"/>
    <w:rsid w:val="00F038DA"/>
    <w:rsid w:val="00F03FE9"/>
    <w:rsid w:val="00F06325"/>
    <w:rsid w:val="00F1269B"/>
    <w:rsid w:val="00F13A84"/>
    <w:rsid w:val="00F1485B"/>
    <w:rsid w:val="00F225AE"/>
    <w:rsid w:val="00F25642"/>
    <w:rsid w:val="00F258C3"/>
    <w:rsid w:val="00F25F00"/>
    <w:rsid w:val="00F316E3"/>
    <w:rsid w:val="00F33024"/>
    <w:rsid w:val="00F33D3D"/>
    <w:rsid w:val="00F355FA"/>
    <w:rsid w:val="00F36B84"/>
    <w:rsid w:val="00F401BD"/>
    <w:rsid w:val="00F40765"/>
    <w:rsid w:val="00F423AB"/>
    <w:rsid w:val="00F433D7"/>
    <w:rsid w:val="00F43EB8"/>
    <w:rsid w:val="00F441FE"/>
    <w:rsid w:val="00F46FE1"/>
    <w:rsid w:val="00F50CCB"/>
    <w:rsid w:val="00F527AD"/>
    <w:rsid w:val="00F56AA8"/>
    <w:rsid w:val="00F56C1C"/>
    <w:rsid w:val="00F6138D"/>
    <w:rsid w:val="00F636F2"/>
    <w:rsid w:val="00F63AD6"/>
    <w:rsid w:val="00F64702"/>
    <w:rsid w:val="00F64A46"/>
    <w:rsid w:val="00F66270"/>
    <w:rsid w:val="00F70B43"/>
    <w:rsid w:val="00F74C7B"/>
    <w:rsid w:val="00F754B9"/>
    <w:rsid w:val="00F757F2"/>
    <w:rsid w:val="00F7668C"/>
    <w:rsid w:val="00F77A74"/>
    <w:rsid w:val="00F82B6B"/>
    <w:rsid w:val="00F87933"/>
    <w:rsid w:val="00F9125D"/>
    <w:rsid w:val="00F91D01"/>
    <w:rsid w:val="00F92565"/>
    <w:rsid w:val="00F92F07"/>
    <w:rsid w:val="00F94CD7"/>
    <w:rsid w:val="00FA248F"/>
    <w:rsid w:val="00FA5DC8"/>
    <w:rsid w:val="00FB086A"/>
    <w:rsid w:val="00FB1B0B"/>
    <w:rsid w:val="00FB2C67"/>
    <w:rsid w:val="00FB4959"/>
    <w:rsid w:val="00FB62D5"/>
    <w:rsid w:val="00FC043A"/>
    <w:rsid w:val="00FC0532"/>
    <w:rsid w:val="00FC0E7B"/>
    <w:rsid w:val="00FC2258"/>
    <w:rsid w:val="00FC46F4"/>
    <w:rsid w:val="00FC5EDA"/>
    <w:rsid w:val="00FC72B7"/>
    <w:rsid w:val="00FD0434"/>
    <w:rsid w:val="00FD0AD9"/>
    <w:rsid w:val="00FD146E"/>
    <w:rsid w:val="00FD1CCF"/>
    <w:rsid w:val="00FD2EE5"/>
    <w:rsid w:val="00FD60ED"/>
    <w:rsid w:val="00FE02DA"/>
    <w:rsid w:val="00FE0628"/>
    <w:rsid w:val="00FE0833"/>
    <w:rsid w:val="00FE197B"/>
    <w:rsid w:val="00FE22B5"/>
    <w:rsid w:val="00FE44C8"/>
    <w:rsid w:val="00FE44F0"/>
    <w:rsid w:val="00FE508A"/>
    <w:rsid w:val="00FE5BD0"/>
    <w:rsid w:val="00FE6EAE"/>
    <w:rsid w:val="00FF0E2E"/>
    <w:rsid w:val="00FF1F81"/>
    <w:rsid w:val="00FF2CE3"/>
    <w:rsid w:val="00FF36F1"/>
    <w:rsid w:val="00FF5261"/>
    <w:rsid w:val="12FB8D65"/>
    <w:rsid w:val="14B6389C"/>
    <w:rsid w:val="207CC218"/>
    <w:rsid w:val="2366086E"/>
    <w:rsid w:val="4E191393"/>
    <w:rsid w:val="5086F0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8D65"/>
  <w15:chartTrackingRefBased/>
  <w15:docId w15:val="{F13B028E-D92A-41E1-BDB6-162EBA4D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C1"/>
    <w:pPr>
      <w:spacing w:after="200" w:line="276" w:lineRule="auto"/>
    </w:pPr>
    <w:rPr>
      <w:rFonts w:ascii="Times New Roman" w:eastAsiaTheme="minorHAnsi" w:hAnsi="Times New Roman" w:cs="Arial"/>
      <w:kern w:val="2"/>
      <w:sz w:val="22"/>
      <w:szCs w:val="22"/>
      <w:lang w:eastAsia="en-US"/>
      <w14:ligatures w14:val="standardContextual"/>
    </w:rPr>
  </w:style>
  <w:style w:type="paragraph" w:styleId="Heading1">
    <w:name w:val="heading 1"/>
    <w:basedOn w:val="Heading2"/>
    <w:next w:val="Normal"/>
    <w:link w:val="Heading1Char"/>
    <w:uiPriority w:val="9"/>
    <w:qFormat/>
    <w:rsid w:val="00BE0509"/>
    <w:pPr>
      <w:pageBreakBefore/>
      <w:spacing w:before="0"/>
      <w:outlineLvl w:val="0"/>
    </w:pPr>
    <w:rPr>
      <w:color w:val="FDB513"/>
      <w:sz w:val="36"/>
      <w:szCs w:val="32"/>
    </w:rPr>
  </w:style>
  <w:style w:type="paragraph" w:styleId="Heading2">
    <w:name w:val="heading 2"/>
    <w:basedOn w:val="Normal"/>
    <w:next w:val="Normal"/>
    <w:link w:val="Heading2Char"/>
    <w:uiPriority w:val="9"/>
    <w:unhideWhenUsed/>
    <w:qFormat/>
    <w:rsid w:val="00A75CC1"/>
    <w:pPr>
      <w:keepNext/>
      <w:keepLines/>
      <w:spacing w:before="240"/>
      <w:outlineLvl w:val="1"/>
    </w:pPr>
    <w:rPr>
      <w:rFonts w:ascii="Arial" w:eastAsiaTheme="majorEastAsia" w:hAnsi="Arial"/>
      <w:b/>
      <w:color w:val="006EA0"/>
      <w:sz w:val="24"/>
      <w:szCs w:val="26"/>
    </w:rPr>
  </w:style>
  <w:style w:type="paragraph" w:styleId="Heading3">
    <w:name w:val="heading 3"/>
    <w:basedOn w:val="Normal"/>
    <w:next w:val="Normal"/>
    <w:link w:val="Heading3Char"/>
    <w:uiPriority w:val="9"/>
    <w:unhideWhenUsed/>
    <w:qFormat/>
    <w:rsid w:val="00C072E1"/>
    <w:pPr>
      <w:keepNext/>
      <w:keepLines/>
      <w:spacing w:before="200" w:after="0"/>
      <w:outlineLvl w:val="2"/>
    </w:pPr>
    <w:rPr>
      <w:rFonts w:cs="Times New Roman"/>
      <w:b/>
      <w:color w:val="003650"/>
      <w:szCs w:val="20"/>
    </w:rPr>
  </w:style>
  <w:style w:type="paragraph" w:styleId="Heading4">
    <w:name w:val="heading 4"/>
    <w:basedOn w:val="Normal"/>
    <w:next w:val="Normal"/>
    <w:link w:val="Heading4Char"/>
    <w:uiPriority w:val="9"/>
    <w:unhideWhenUsed/>
    <w:qFormat/>
    <w:rsid w:val="00A75CC1"/>
    <w:pPr>
      <w:keepNext/>
      <w:keepLines/>
      <w:spacing w:before="40" w:after="0"/>
      <w:outlineLvl w:val="3"/>
    </w:pPr>
    <w:rPr>
      <w:rFonts w:eastAsiaTheme="majorEastAsia"/>
      <w:i/>
      <w:iCs/>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05277"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509"/>
    <w:rPr>
      <w:rFonts w:ascii="Arial" w:eastAsiaTheme="majorEastAsia" w:hAnsi="Arial" w:cs="Arial"/>
      <w:b/>
      <w:color w:val="FDB513"/>
      <w:kern w:val="2"/>
      <w:sz w:val="36"/>
      <w:szCs w:val="32"/>
      <w:lang w:eastAsia="en-US"/>
      <w14:ligatures w14:val="standardContextual"/>
    </w:rPr>
  </w:style>
  <w:style w:type="character" w:customStyle="1" w:styleId="Heading2Char">
    <w:name w:val="Heading 2 Char"/>
    <w:basedOn w:val="DefaultParagraphFont"/>
    <w:link w:val="Heading2"/>
    <w:uiPriority w:val="9"/>
    <w:rsid w:val="00A75CC1"/>
    <w:rPr>
      <w:rFonts w:ascii="Arial" w:eastAsiaTheme="majorEastAsia" w:hAnsi="Arial" w:cs="Arial"/>
      <w:b/>
      <w:color w:val="006EA0"/>
      <w:kern w:val="2"/>
      <w:szCs w:val="26"/>
      <w:lang w:eastAsia="en-US"/>
      <w14:ligatures w14:val="standardContextual"/>
    </w:rPr>
  </w:style>
  <w:style w:type="character" w:customStyle="1" w:styleId="Heading3Char">
    <w:name w:val="Heading 3 Char"/>
    <w:basedOn w:val="DefaultParagraphFont"/>
    <w:link w:val="Heading3"/>
    <w:uiPriority w:val="9"/>
    <w:rsid w:val="00C072E1"/>
    <w:rPr>
      <w:rFonts w:ascii="Times New Roman" w:eastAsiaTheme="minorHAnsi" w:hAnsi="Times New Roman" w:cs="Times New Roman"/>
      <w:b/>
      <w:color w:val="003650"/>
      <w:kern w:val="2"/>
      <w:sz w:val="22"/>
      <w:szCs w:val="20"/>
      <w:lang w:eastAsia="en-US"/>
      <w14:ligatures w14:val="standardContextual"/>
    </w:rPr>
  </w:style>
  <w:style w:type="character" w:customStyle="1" w:styleId="Heading4Char">
    <w:name w:val="Heading 4 Char"/>
    <w:basedOn w:val="DefaultParagraphFont"/>
    <w:link w:val="Heading4"/>
    <w:uiPriority w:val="9"/>
    <w:rsid w:val="00A75CC1"/>
    <w:rPr>
      <w:rFonts w:ascii="Times New Roman" w:eastAsiaTheme="majorEastAsia" w:hAnsi="Times New Roman" w:cs="Arial"/>
      <w:i/>
      <w:iCs/>
      <w:kern w:val="2"/>
      <w:sz w:val="22"/>
      <w:szCs w:val="22"/>
      <w:lang w:eastAsia="en-US"/>
      <w14:ligatures w14:val="standardContextual"/>
    </w:rPr>
  </w:style>
  <w:style w:type="character" w:customStyle="1" w:styleId="Heading5Char">
    <w:name w:val="Heading 5 Char"/>
    <w:basedOn w:val="DefaultParagraphFont"/>
    <w:link w:val="Heading5"/>
    <w:uiPriority w:val="9"/>
    <w:rPr>
      <w:rFonts w:eastAsiaTheme="majorEastAsia" w:cstheme="majorBidi"/>
      <w:color w:val="005277"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paragraph" w:customStyle="1" w:styleId="CalloutBox">
    <w:name w:val="Callout Box"/>
    <w:basedOn w:val="Normal"/>
    <w:qFormat/>
    <w:rsid w:val="00A75CC1"/>
    <w:rPr>
      <w:rFonts w:cstheme="minorBidi"/>
      <w:b/>
      <w:bCs/>
      <w:color w:val="FFFFFF" w:themeColor="background1"/>
      <w:kern w:val="0"/>
      <w:sz w:val="24"/>
      <w:szCs w:val="24"/>
      <w14:ligatures w14:val="none"/>
    </w:rPr>
  </w:style>
  <w:style w:type="paragraph" w:styleId="Caption">
    <w:name w:val="caption"/>
    <w:basedOn w:val="Normal"/>
    <w:next w:val="Normal"/>
    <w:uiPriority w:val="35"/>
    <w:unhideWhenUsed/>
    <w:qFormat/>
    <w:rsid w:val="00A75CC1"/>
    <w:pPr>
      <w:keepNext/>
      <w:spacing w:line="240" w:lineRule="auto"/>
      <w:jc w:val="center"/>
    </w:pPr>
    <w:rPr>
      <w:b/>
      <w:iCs/>
      <w:sz w:val="20"/>
      <w:szCs w:val="18"/>
    </w:rPr>
  </w:style>
  <w:style w:type="character" w:styleId="CommentReference">
    <w:name w:val="annotation reference"/>
    <w:basedOn w:val="DefaultParagraphFont"/>
    <w:uiPriority w:val="99"/>
    <w:semiHidden/>
    <w:unhideWhenUsed/>
    <w:rsid w:val="00A75CC1"/>
    <w:rPr>
      <w:sz w:val="16"/>
      <w:szCs w:val="16"/>
    </w:rPr>
  </w:style>
  <w:style w:type="paragraph" w:styleId="CommentText">
    <w:name w:val="annotation text"/>
    <w:basedOn w:val="Normal"/>
    <w:link w:val="CommentTextChar"/>
    <w:uiPriority w:val="99"/>
    <w:unhideWhenUsed/>
    <w:rsid w:val="00A75CC1"/>
    <w:pPr>
      <w:spacing w:line="240" w:lineRule="auto"/>
    </w:pPr>
    <w:rPr>
      <w:sz w:val="20"/>
      <w:szCs w:val="20"/>
    </w:rPr>
  </w:style>
  <w:style w:type="character" w:customStyle="1" w:styleId="CommentTextChar">
    <w:name w:val="Comment Text Char"/>
    <w:basedOn w:val="DefaultParagraphFont"/>
    <w:link w:val="CommentText"/>
    <w:uiPriority w:val="99"/>
    <w:rsid w:val="00A75CC1"/>
    <w:rPr>
      <w:rFonts w:ascii="Times New Roman" w:eastAsiaTheme="minorHAnsi" w:hAnsi="Times New Roman" w:cs="Arial"/>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A75CC1"/>
    <w:rPr>
      <w:b/>
      <w:bCs/>
    </w:rPr>
  </w:style>
  <w:style w:type="character" w:customStyle="1" w:styleId="CommentSubjectChar">
    <w:name w:val="Comment Subject Char"/>
    <w:basedOn w:val="CommentTextChar"/>
    <w:link w:val="CommentSubject"/>
    <w:uiPriority w:val="99"/>
    <w:semiHidden/>
    <w:rsid w:val="00A75CC1"/>
    <w:rPr>
      <w:rFonts w:ascii="Times New Roman" w:eastAsiaTheme="minorHAnsi" w:hAnsi="Times New Roman" w:cs="Arial"/>
      <w:b/>
      <w:bCs/>
      <w:kern w:val="2"/>
      <w:sz w:val="20"/>
      <w:szCs w:val="20"/>
      <w:lang w:eastAsia="en-US"/>
      <w14:ligatures w14:val="standardContextual"/>
    </w:rPr>
  </w:style>
  <w:style w:type="paragraph" w:customStyle="1" w:styleId="Default">
    <w:name w:val="Default"/>
    <w:rsid w:val="00A75CC1"/>
    <w:pPr>
      <w:autoSpaceDE w:val="0"/>
      <w:autoSpaceDN w:val="0"/>
      <w:adjustRightInd w:val="0"/>
      <w:spacing w:after="0" w:line="240" w:lineRule="auto"/>
    </w:pPr>
    <w:rPr>
      <w:rFonts w:ascii="Times New Roman" w:eastAsiaTheme="minorHAnsi" w:hAnsi="Times New Roman" w:cs="Times New Roman"/>
      <w:b/>
      <w:color w:val="000000"/>
      <w:lang w:eastAsia="en-US"/>
      <w14:ligatures w14:val="standardContextual"/>
    </w:rPr>
  </w:style>
  <w:style w:type="character" w:styleId="Emphasis">
    <w:name w:val="Emphasis"/>
    <w:basedOn w:val="DefaultParagraphFont"/>
    <w:uiPriority w:val="20"/>
    <w:qFormat/>
    <w:rsid w:val="00A75CC1"/>
    <w:rPr>
      <w:i/>
      <w:iCs/>
    </w:rPr>
  </w:style>
  <w:style w:type="character" w:styleId="EndnoteReference">
    <w:name w:val="endnote reference"/>
    <w:basedOn w:val="DefaultParagraphFont"/>
    <w:uiPriority w:val="99"/>
    <w:semiHidden/>
    <w:unhideWhenUsed/>
    <w:rsid w:val="00A75CC1"/>
    <w:rPr>
      <w:vertAlign w:val="superscript"/>
    </w:rPr>
  </w:style>
  <w:style w:type="paragraph" w:styleId="EndnoteText">
    <w:name w:val="endnote text"/>
    <w:basedOn w:val="Normal"/>
    <w:link w:val="EndnoteTextChar"/>
    <w:uiPriority w:val="99"/>
    <w:semiHidden/>
    <w:unhideWhenUsed/>
    <w:rsid w:val="00A75C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5CC1"/>
    <w:rPr>
      <w:rFonts w:ascii="Times New Roman" w:eastAsiaTheme="minorHAnsi" w:hAnsi="Times New Roman" w:cs="Arial"/>
      <w:kern w:val="2"/>
      <w:sz w:val="20"/>
      <w:szCs w:val="20"/>
      <w:lang w:eastAsia="en-US"/>
      <w14:ligatures w14:val="standardContextual"/>
    </w:rPr>
  </w:style>
  <w:style w:type="character" w:styleId="FollowedHyperlink">
    <w:name w:val="FollowedHyperlink"/>
    <w:basedOn w:val="DefaultParagraphFont"/>
    <w:uiPriority w:val="99"/>
    <w:semiHidden/>
    <w:unhideWhenUsed/>
    <w:rsid w:val="00A75CC1"/>
    <w:rPr>
      <w:color w:val="006EA0" w:themeColor="followedHyperlink"/>
      <w:u w:val="single"/>
    </w:rPr>
  </w:style>
  <w:style w:type="paragraph" w:styleId="Footer">
    <w:name w:val="footer"/>
    <w:basedOn w:val="Normal"/>
    <w:link w:val="FooterChar"/>
    <w:uiPriority w:val="99"/>
    <w:unhideWhenUsed/>
    <w:rsid w:val="00A75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CC1"/>
    <w:rPr>
      <w:rFonts w:ascii="Times New Roman" w:eastAsiaTheme="minorHAnsi" w:hAnsi="Times New Roman" w:cs="Arial"/>
      <w:kern w:val="2"/>
      <w:sz w:val="22"/>
      <w:szCs w:val="22"/>
      <w:lang w:eastAsia="en-US"/>
      <w14:ligatures w14:val="standardContextual"/>
    </w:rPr>
  </w:style>
  <w:style w:type="character" w:styleId="FootnoteReference">
    <w:name w:val="footnote reference"/>
    <w:basedOn w:val="DefaultParagraphFont"/>
    <w:uiPriority w:val="99"/>
    <w:semiHidden/>
    <w:unhideWhenUsed/>
    <w:rsid w:val="00A75CC1"/>
    <w:rPr>
      <w:vertAlign w:val="superscript"/>
    </w:rPr>
  </w:style>
  <w:style w:type="paragraph" w:styleId="FootnoteText">
    <w:name w:val="footnote text"/>
    <w:basedOn w:val="Normal"/>
    <w:link w:val="FootnoteTextChar"/>
    <w:uiPriority w:val="99"/>
    <w:unhideWhenUsed/>
    <w:rsid w:val="00A75CC1"/>
    <w:pPr>
      <w:spacing w:after="0" w:line="240" w:lineRule="auto"/>
    </w:pPr>
    <w:rPr>
      <w:sz w:val="20"/>
      <w:szCs w:val="20"/>
    </w:rPr>
  </w:style>
  <w:style w:type="character" w:customStyle="1" w:styleId="FootnoteTextChar">
    <w:name w:val="Footnote Text Char"/>
    <w:basedOn w:val="DefaultParagraphFont"/>
    <w:link w:val="FootnoteText"/>
    <w:uiPriority w:val="99"/>
    <w:rsid w:val="00A75CC1"/>
    <w:rPr>
      <w:rFonts w:ascii="Times New Roman" w:eastAsiaTheme="minorHAnsi" w:hAnsi="Times New Roman" w:cs="Arial"/>
      <w:kern w:val="2"/>
      <w:sz w:val="20"/>
      <w:szCs w:val="20"/>
      <w:lang w:eastAsia="en-US"/>
      <w14:ligatures w14:val="standardContextual"/>
    </w:rPr>
  </w:style>
  <w:style w:type="paragraph" w:styleId="Revision">
    <w:name w:val="Revision"/>
    <w:hidden/>
    <w:uiPriority w:val="99"/>
    <w:semiHidden/>
    <w:rsid w:val="00F258C3"/>
    <w:pPr>
      <w:spacing w:after="0" w:line="240" w:lineRule="auto"/>
    </w:pPr>
  </w:style>
  <w:style w:type="table" w:styleId="GridTable4-Accent1">
    <w:name w:val="Grid Table 4 Accent 1"/>
    <w:basedOn w:val="TableNormal"/>
    <w:uiPriority w:val="49"/>
    <w:rsid w:val="00A75CC1"/>
    <w:pPr>
      <w:spacing w:after="0" w:line="240" w:lineRule="auto"/>
      <w:jc w:val="center"/>
    </w:pPr>
    <w:rPr>
      <w:rFonts w:eastAsiaTheme="minorHAnsi"/>
      <w:sz w:val="22"/>
      <w:szCs w:val="22"/>
      <w:lang w:eastAsia="en-US"/>
    </w:rPr>
    <w:tblPr>
      <w:tblStyleRowBandSize w:val="1"/>
      <w:tblStyleColBandSize w:val="1"/>
      <w:tblBorders>
        <w:insideV w:val="single" w:sz="4" w:space="0" w:color="006EA0" w:themeColor="accent1"/>
      </w:tblBorders>
    </w:tblPr>
    <w:tcPr>
      <w:vAlign w:val="center"/>
    </w:tcPr>
    <w:tblStylePr w:type="firstRow">
      <w:rPr>
        <w:b/>
        <w:bCs/>
        <w:color w:val="FFFFFF" w:themeColor="background1"/>
      </w:rPr>
      <w:tblPr/>
      <w:tcPr>
        <w:tcBorders>
          <w:top w:val="single" w:sz="4" w:space="0" w:color="006EA0" w:themeColor="accent1"/>
          <w:left w:val="single" w:sz="4" w:space="0" w:color="006EA0" w:themeColor="accent1"/>
          <w:bottom w:val="single" w:sz="4" w:space="0" w:color="006EA0" w:themeColor="accent1"/>
          <w:right w:val="single" w:sz="4" w:space="0" w:color="006EA0" w:themeColor="accent1"/>
          <w:insideH w:val="nil"/>
          <w:insideV w:val="nil"/>
        </w:tcBorders>
        <w:shd w:val="clear" w:color="auto" w:fill="006EA0" w:themeFill="accent1"/>
      </w:tcPr>
    </w:tblStylePr>
    <w:tblStylePr w:type="lastRow">
      <w:rPr>
        <w:b/>
        <w:bCs/>
      </w:rPr>
      <w:tblPr/>
      <w:tcPr>
        <w:tcBorders>
          <w:top w:val="double" w:sz="4" w:space="0" w:color="006EA0" w:themeColor="accent1"/>
        </w:tcBorders>
      </w:tcPr>
    </w:tblStylePr>
    <w:tblStylePr w:type="firstCol">
      <w:rPr>
        <w:b/>
        <w:bCs/>
      </w:rPr>
    </w:tblStylePr>
    <w:tblStylePr w:type="lastCol">
      <w:rPr>
        <w:b/>
        <w:bCs/>
      </w:rPr>
    </w:tblStylePr>
    <w:tblStylePr w:type="band1Horz">
      <w:tblPr/>
      <w:tcPr>
        <w:shd w:val="clear" w:color="auto" w:fill="E5EFF4" w:themeFill="background2"/>
      </w:tcPr>
    </w:tblStylePr>
  </w:style>
  <w:style w:type="table" w:styleId="GridTable5Dark-Accent1">
    <w:name w:val="Grid Table 5 Dark Accent 1"/>
    <w:basedOn w:val="TableNormal"/>
    <w:uiPriority w:val="50"/>
    <w:rsid w:val="00A75CC1"/>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A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A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A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A0" w:themeFill="accent1"/>
      </w:tcPr>
    </w:tblStylePr>
    <w:tblStylePr w:type="band1Vert">
      <w:tblPr/>
      <w:tcPr>
        <w:shd w:val="clear" w:color="auto" w:fill="73D3FF" w:themeFill="accent1" w:themeFillTint="66"/>
      </w:tcPr>
    </w:tblStylePr>
    <w:tblStylePr w:type="band1Horz">
      <w:tblPr/>
      <w:tcPr>
        <w:shd w:val="clear" w:color="auto" w:fill="73D3FF" w:themeFill="accent1" w:themeFillTint="66"/>
      </w:tcPr>
    </w:tblStylePr>
  </w:style>
  <w:style w:type="paragraph" w:styleId="Header">
    <w:name w:val="header"/>
    <w:basedOn w:val="Normal"/>
    <w:link w:val="HeaderChar"/>
    <w:uiPriority w:val="99"/>
    <w:unhideWhenUsed/>
    <w:rsid w:val="00A75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C1"/>
    <w:rPr>
      <w:rFonts w:ascii="Times New Roman" w:eastAsiaTheme="minorHAnsi" w:hAnsi="Times New Roman" w:cs="Arial"/>
      <w:kern w:val="2"/>
      <w:sz w:val="22"/>
      <w:szCs w:val="22"/>
      <w:lang w:eastAsia="en-US"/>
      <w14:ligatures w14:val="standardContextual"/>
    </w:rPr>
  </w:style>
  <w:style w:type="character" w:styleId="Hyperlink">
    <w:name w:val="Hyperlink"/>
    <w:basedOn w:val="DefaultParagraphFont"/>
    <w:uiPriority w:val="99"/>
    <w:unhideWhenUsed/>
    <w:rsid w:val="00A75CC1"/>
    <w:rPr>
      <w:color w:val="0000FF"/>
      <w:u w:val="single"/>
    </w:rPr>
  </w:style>
  <w:style w:type="paragraph" w:styleId="ListBullet">
    <w:name w:val="List Bullet"/>
    <w:basedOn w:val="Normal"/>
    <w:uiPriority w:val="99"/>
    <w:unhideWhenUsed/>
    <w:rsid w:val="00A75CC1"/>
    <w:pPr>
      <w:numPr>
        <w:ilvl w:val="1"/>
        <w:numId w:val="13"/>
      </w:numPr>
      <w:contextualSpacing/>
    </w:pPr>
  </w:style>
  <w:style w:type="paragraph" w:styleId="ListParagraph">
    <w:name w:val="List Paragraph"/>
    <w:basedOn w:val="Normal"/>
    <w:uiPriority w:val="34"/>
    <w:qFormat/>
    <w:rsid w:val="003A3D8D"/>
    <w:pPr>
      <w:numPr>
        <w:numId w:val="14"/>
      </w:numPr>
      <w:ind w:left="360"/>
      <w:contextualSpacing/>
    </w:pPr>
  </w:style>
  <w:style w:type="character" w:styleId="Mention">
    <w:name w:val="Mention"/>
    <w:basedOn w:val="DefaultParagraphFont"/>
    <w:uiPriority w:val="99"/>
    <w:unhideWhenUsed/>
    <w:rsid w:val="00A75CC1"/>
    <w:rPr>
      <w:color w:val="2B579A"/>
      <w:shd w:val="clear" w:color="auto" w:fill="E1DFDD"/>
    </w:rPr>
  </w:style>
  <w:style w:type="paragraph" w:customStyle="1" w:styleId="Projectcallout">
    <w:name w:val="Project callout"/>
    <w:basedOn w:val="Normal"/>
    <w:qFormat/>
    <w:rsid w:val="00A75CC1"/>
    <w:pPr>
      <w:spacing w:after="120" w:line="240" w:lineRule="auto"/>
      <w:jc w:val="both"/>
    </w:pPr>
    <w:rPr>
      <w:rFonts w:cstheme="minorBidi"/>
      <w:b/>
      <w:kern w:val="0"/>
      <w:sz w:val="28"/>
      <w:szCs w:val="28"/>
      <w14:ligatures w14:val="none"/>
    </w:rPr>
  </w:style>
  <w:style w:type="table" w:styleId="TableGrid">
    <w:name w:val="Table Grid"/>
    <w:basedOn w:val="TableNormal"/>
    <w:uiPriority w:val="39"/>
    <w:rsid w:val="00A75CC1"/>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75CC1"/>
    <w:pPr>
      <w:tabs>
        <w:tab w:val="right" w:leader="dot" w:pos="9350"/>
      </w:tabs>
      <w:spacing w:after="100"/>
      <w:jc w:val="center"/>
    </w:pPr>
    <w:rPr>
      <w:b/>
      <w:sz w:val="24"/>
    </w:rPr>
  </w:style>
  <w:style w:type="paragraph" w:styleId="TOC2">
    <w:name w:val="toc 2"/>
    <w:basedOn w:val="Normal"/>
    <w:next w:val="Normal"/>
    <w:autoRedefine/>
    <w:uiPriority w:val="39"/>
    <w:unhideWhenUsed/>
    <w:rsid w:val="00A75CC1"/>
    <w:pPr>
      <w:spacing w:after="100"/>
      <w:ind w:left="220"/>
    </w:pPr>
    <w:rPr>
      <w:sz w:val="20"/>
    </w:rPr>
  </w:style>
  <w:style w:type="paragraph" w:styleId="TOC3">
    <w:name w:val="toc 3"/>
    <w:basedOn w:val="Normal"/>
    <w:next w:val="Normal"/>
    <w:autoRedefine/>
    <w:uiPriority w:val="39"/>
    <w:unhideWhenUsed/>
    <w:rsid w:val="00A75CC1"/>
    <w:pPr>
      <w:spacing w:after="100"/>
      <w:ind w:left="440"/>
    </w:pPr>
  </w:style>
  <w:style w:type="paragraph" w:styleId="TOCHeading">
    <w:name w:val="TOC Heading"/>
    <w:basedOn w:val="Heading1"/>
    <w:next w:val="Normal"/>
    <w:uiPriority w:val="39"/>
    <w:unhideWhenUsed/>
    <w:qFormat/>
    <w:rsid w:val="00A75CC1"/>
    <w:pPr>
      <w:outlineLvl w:val="9"/>
    </w:pPr>
    <w:rPr>
      <w:kern w:val="0"/>
      <w14:ligatures w14:val="none"/>
    </w:rPr>
  </w:style>
  <w:style w:type="character" w:styleId="UnresolvedMention">
    <w:name w:val="Unresolved Mention"/>
    <w:basedOn w:val="DefaultParagraphFont"/>
    <w:uiPriority w:val="99"/>
    <w:semiHidden/>
    <w:unhideWhenUsed/>
    <w:rsid w:val="00A75CC1"/>
    <w:rPr>
      <w:color w:val="605E5C"/>
      <w:shd w:val="clear" w:color="auto" w:fill="E1DFDD"/>
    </w:rPr>
  </w:style>
  <w:style w:type="paragraph" w:customStyle="1" w:styleId="ListParagraph2">
    <w:name w:val="List Paragraph 2"/>
    <w:basedOn w:val="ListParagraph"/>
    <w:qFormat/>
    <w:rsid w:val="00053844"/>
    <w:pPr>
      <w:numPr>
        <w:ilvl w:val="1"/>
        <w:numId w:val="16"/>
      </w:numPr>
      <w:ind w:left="540"/>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2975">
      <w:bodyDiv w:val="1"/>
      <w:marLeft w:val="0"/>
      <w:marRight w:val="0"/>
      <w:marTop w:val="0"/>
      <w:marBottom w:val="0"/>
      <w:divBdr>
        <w:top w:val="none" w:sz="0" w:space="0" w:color="auto"/>
        <w:left w:val="none" w:sz="0" w:space="0" w:color="auto"/>
        <w:bottom w:val="none" w:sz="0" w:space="0" w:color="auto"/>
        <w:right w:val="none" w:sz="0" w:space="0" w:color="auto"/>
      </w:divBdr>
    </w:div>
    <w:div w:id="180168879">
      <w:bodyDiv w:val="1"/>
      <w:marLeft w:val="0"/>
      <w:marRight w:val="0"/>
      <w:marTop w:val="0"/>
      <w:marBottom w:val="0"/>
      <w:divBdr>
        <w:top w:val="none" w:sz="0" w:space="0" w:color="auto"/>
        <w:left w:val="none" w:sz="0" w:space="0" w:color="auto"/>
        <w:bottom w:val="none" w:sz="0" w:space="0" w:color="auto"/>
        <w:right w:val="none" w:sz="0" w:space="0" w:color="auto"/>
      </w:divBdr>
    </w:div>
    <w:div w:id="215553797">
      <w:bodyDiv w:val="1"/>
      <w:marLeft w:val="0"/>
      <w:marRight w:val="0"/>
      <w:marTop w:val="0"/>
      <w:marBottom w:val="0"/>
      <w:divBdr>
        <w:top w:val="none" w:sz="0" w:space="0" w:color="auto"/>
        <w:left w:val="none" w:sz="0" w:space="0" w:color="auto"/>
        <w:bottom w:val="none" w:sz="0" w:space="0" w:color="auto"/>
        <w:right w:val="none" w:sz="0" w:space="0" w:color="auto"/>
      </w:divBdr>
    </w:div>
    <w:div w:id="295567750">
      <w:bodyDiv w:val="1"/>
      <w:marLeft w:val="0"/>
      <w:marRight w:val="0"/>
      <w:marTop w:val="0"/>
      <w:marBottom w:val="0"/>
      <w:divBdr>
        <w:top w:val="none" w:sz="0" w:space="0" w:color="auto"/>
        <w:left w:val="none" w:sz="0" w:space="0" w:color="auto"/>
        <w:bottom w:val="none" w:sz="0" w:space="0" w:color="auto"/>
        <w:right w:val="none" w:sz="0" w:space="0" w:color="auto"/>
      </w:divBdr>
    </w:div>
    <w:div w:id="569655902">
      <w:bodyDiv w:val="1"/>
      <w:marLeft w:val="0"/>
      <w:marRight w:val="0"/>
      <w:marTop w:val="0"/>
      <w:marBottom w:val="0"/>
      <w:divBdr>
        <w:top w:val="none" w:sz="0" w:space="0" w:color="auto"/>
        <w:left w:val="none" w:sz="0" w:space="0" w:color="auto"/>
        <w:bottom w:val="none" w:sz="0" w:space="0" w:color="auto"/>
        <w:right w:val="none" w:sz="0" w:space="0" w:color="auto"/>
      </w:divBdr>
    </w:div>
    <w:div w:id="749275295">
      <w:bodyDiv w:val="1"/>
      <w:marLeft w:val="0"/>
      <w:marRight w:val="0"/>
      <w:marTop w:val="0"/>
      <w:marBottom w:val="0"/>
      <w:divBdr>
        <w:top w:val="none" w:sz="0" w:space="0" w:color="auto"/>
        <w:left w:val="none" w:sz="0" w:space="0" w:color="auto"/>
        <w:bottom w:val="none" w:sz="0" w:space="0" w:color="auto"/>
        <w:right w:val="none" w:sz="0" w:space="0" w:color="auto"/>
      </w:divBdr>
    </w:div>
    <w:div w:id="1740980599">
      <w:bodyDiv w:val="1"/>
      <w:marLeft w:val="0"/>
      <w:marRight w:val="0"/>
      <w:marTop w:val="0"/>
      <w:marBottom w:val="0"/>
      <w:divBdr>
        <w:top w:val="none" w:sz="0" w:space="0" w:color="auto"/>
        <w:left w:val="none" w:sz="0" w:space="0" w:color="auto"/>
        <w:bottom w:val="none" w:sz="0" w:space="0" w:color="auto"/>
        <w:right w:val="none" w:sz="0" w:space="0" w:color="auto"/>
      </w:divBdr>
    </w:div>
    <w:div w:id="1778066125">
      <w:bodyDiv w:val="1"/>
      <w:marLeft w:val="0"/>
      <w:marRight w:val="0"/>
      <w:marTop w:val="0"/>
      <w:marBottom w:val="0"/>
      <w:divBdr>
        <w:top w:val="none" w:sz="0" w:space="0" w:color="auto"/>
        <w:left w:val="none" w:sz="0" w:space="0" w:color="auto"/>
        <w:bottom w:val="none" w:sz="0" w:space="0" w:color="auto"/>
        <w:right w:val="none" w:sz="0" w:space="0" w:color="auto"/>
      </w:divBdr>
    </w:div>
    <w:div w:id="1951887351">
      <w:bodyDiv w:val="1"/>
      <w:marLeft w:val="0"/>
      <w:marRight w:val="0"/>
      <w:marTop w:val="0"/>
      <w:marBottom w:val="0"/>
      <w:divBdr>
        <w:top w:val="none" w:sz="0" w:space="0" w:color="auto"/>
        <w:left w:val="none" w:sz="0" w:space="0" w:color="auto"/>
        <w:bottom w:val="none" w:sz="0" w:space="0" w:color="auto"/>
        <w:right w:val="none" w:sz="0" w:space="0" w:color="auto"/>
      </w:divBdr>
    </w:div>
    <w:div w:id="200940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congress.gov/crs_external_products/IN/HTML/IN12557.web.html" TargetMode="External"/><Relationship Id="rId2" Type="http://schemas.openxmlformats.org/officeDocument/2006/relationships/hyperlink" Target="https://www.irs.gov/pub/irs-drop/n-25-42.pdf" TargetMode="External"/><Relationship Id="rId1" Type="http://schemas.openxmlformats.org/officeDocument/2006/relationships/hyperlink" Target="https://www.hoganlovells.com/en/publications/one-big-beautiful-bill-act-signed-into-law-clean-energy-credits-and-new-feoc-prohibited-foreign" TargetMode="External"/></Relationships>
</file>

<file path=word/theme/theme1.xml><?xml version="1.0" encoding="utf-8"?>
<a:theme xmlns:a="http://schemas.openxmlformats.org/drawingml/2006/main" name="Office Theme">
  <a:themeElements>
    <a:clrScheme name="NYSERDA">
      <a:dk1>
        <a:sysClr val="windowText" lastClr="000000"/>
      </a:dk1>
      <a:lt1>
        <a:sysClr val="window" lastClr="FFFFFF"/>
      </a:lt1>
      <a:dk2>
        <a:srgbClr val="6D6E71"/>
      </a:dk2>
      <a:lt2>
        <a:srgbClr val="E5EFF4"/>
      </a:lt2>
      <a:accent1>
        <a:srgbClr val="006EA0"/>
      </a:accent1>
      <a:accent2>
        <a:srgbClr val="FDB513"/>
      </a:accent2>
      <a:accent3>
        <a:srgbClr val="0075C9"/>
      </a:accent3>
      <a:accent4>
        <a:srgbClr val="83C1D6"/>
      </a:accent4>
      <a:accent5>
        <a:srgbClr val="CE8A14"/>
      </a:accent5>
      <a:accent6>
        <a:srgbClr val="8698A5"/>
      </a:accent6>
      <a:hlink>
        <a:srgbClr val="0075C9"/>
      </a:hlink>
      <a:folHlink>
        <a:srgbClr val="006EA0"/>
      </a:folHlink>
    </a:clrScheme>
    <a:fontScheme name="NYSERDA">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4572a1-de4a-4e0c-894a-3178116de203">
      <Terms xmlns="http://schemas.microsoft.com/office/infopath/2007/PartnerControls"/>
    </lcf76f155ced4ddcb4097134ff3c332f>
    <TaxCatchAll xmlns="4017c6b3-9933-4618-b092-8b6d305cf4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8FC3689D486D4F9C10B5FA9E8B8AB8" ma:contentTypeVersion="14" ma:contentTypeDescription="Create a new document." ma:contentTypeScope="" ma:versionID="27fe4421e78d5cb8b2dcee71b5ddec69">
  <xsd:schema xmlns:xsd="http://www.w3.org/2001/XMLSchema" xmlns:xs="http://www.w3.org/2001/XMLSchema" xmlns:p="http://schemas.microsoft.com/office/2006/metadata/properties" xmlns:ns2="1e4572a1-de4a-4e0c-894a-3178116de203" xmlns:ns3="4017c6b3-9933-4618-b092-8b6d305cf4cf" targetNamespace="http://schemas.microsoft.com/office/2006/metadata/properties" ma:root="true" ma:fieldsID="dc0bede9b6ad575b4f10cec32bd3d6b9" ns2:_="" ns3:_="">
    <xsd:import namespace="1e4572a1-de4a-4e0c-894a-3178116de203"/>
    <xsd:import namespace="4017c6b3-9933-4618-b092-8b6d305cf4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572a1-de4a-4e0c-894a-3178116de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7c6b3-9933-4618-b092-8b6d305cf4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f630bda-974a-4947-8191-a98ba1654acb}" ma:internalName="TaxCatchAll" ma:showField="CatchAllData" ma:web="4017c6b3-9933-4618-b092-8b6d305cf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D8A0-AFCE-4161-B56D-708FAD51EAFF}">
  <ds:schemaRefs>
    <ds:schemaRef ds:uri="http://schemas.microsoft.com/office/2006/metadata/properties"/>
    <ds:schemaRef ds:uri="http://schemas.microsoft.com/office/infopath/2007/PartnerControls"/>
    <ds:schemaRef ds:uri="1e4572a1-de4a-4e0c-894a-3178116de203"/>
    <ds:schemaRef ds:uri="4017c6b3-9933-4618-b092-8b6d305cf4cf"/>
  </ds:schemaRefs>
</ds:datastoreItem>
</file>

<file path=customXml/itemProps2.xml><?xml version="1.0" encoding="utf-8"?>
<ds:datastoreItem xmlns:ds="http://schemas.openxmlformats.org/officeDocument/2006/customXml" ds:itemID="{1CAFC292-DA51-46E8-BCB6-2EE38F343E7E}">
  <ds:schemaRefs>
    <ds:schemaRef ds:uri="http://schemas.openxmlformats.org/officeDocument/2006/bibliography"/>
  </ds:schemaRefs>
</ds:datastoreItem>
</file>

<file path=customXml/itemProps3.xml><?xml version="1.0" encoding="utf-8"?>
<ds:datastoreItem xmlns:ds="http://schemas.openxmlformats.org/officeDocument/2006/customXml" ds:itemID="{D1E977F0-03D9-463D-ACD1-3C67AC5D5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572a1-de4a-4e0c-894a-3178116de203"/>
    <ds:schemaRef ds:uri="4017c6b3-9933-4618-b092-8b6d305cf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6447A-8DBE-416C-8ABC-F28177C1BA08}">
  <ds:schemaRefs>
    <ds:schemaRef ds:uri="http://schemas.microsoft.com/sharepoint/v3/contenttype/forms"/>
  </ds:schemaRefs>
</ds:datastoreItem>
</file>

<file path=docMetadata/LabelInfo.xml><?xml version="1.0" encoding="utf-8"?>
<clbl:labelList xmlns:clbl="http://schemas.microsoft.com/office/2020/mipLabelMetadata">
  <clbl:label id="{3667e201-cbdc-48b3-9b42-5d2d3f16e2a9}" enabled="0" method="" siteId="{3667e201-cbdc-48b3-9b42-5d2d3f16e2a9}" removed="1"/>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Links>
    <vt:vector size="18" baseType="variant">
      <vt:variant>
        <vt:i4>1572893</vt:i4>
      </vt:variant>
      <vt:variant>
        <vt:i4>6</vt:i4>
      </vt:variant>
      <vt:variant>
        <vt:i4>0</vt:i4>
      </vt:variant>
      <vt:variant>
        <vt:i4>5</vt:i4>
      </vt:variant>
      <vt:variant>
        <vt:lpwstr>https://www.congress.gov/crs_external_products/IN/HTML/IN12557.web.html</vt:lpwstr>
      </vt:variant>
      <vt:variant>
        <vt:lpwstr/>
      </vt:variant>
      <vt:variant>
        <vt:i4>393217</vt:i4>
      </vt:variant>
      <vt:variant>
        <vt:i4>3</vt:i4>
      </vt:variant>
      <vt:variant>
        <vt:i4>0</vt:i4>
      </vt:variant>
      <vt:variant>
        <vt:i4>5</vt:i4>
      </vt:variant>
      <vt:variant>
        <vt:lpwstr>https://www.irs.gov/pub/irs-drop/n-25-42.pdf</vt:lpwstr>
      </vt:variant>
      <vt:variant>
        <vt:lpwstr/>
      </vt:variant>
      <vt:variant>
        <vt:i4>983135</vt:i4>
      </vt:variant>
      <vt:variant>
        <vt:i4>0</vt:i4>
      </vt:variant>
      <vt:variant>
        <vt:i4>0</vt:i4>
      </vt:variant>
      <vt:variant>
        <vt:i4>5</vt:i4>
      </vt:variant>
      <vt:variant>
        <vt:lpwstr>https://www.hoganlovells.com/en/publications/one-big-beautiful-bill-act-signed-into-law-clean-energy-credits-and-new-feoc-prohibited-foreign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Kirsh, Sam</dc:creator>
  <cp:keywords/>
  <dc:description/>
  <cp:lastModifiedBy>Kafka, Jordan</cp:lastModifiedBy>
  <cp:revision>3</cp:revision>
  <cp:lastPrinted>2025-08-29T21:10:00Z</cp:lastPrinted>
  <dcterms:created xsi:type="dcterms:W3CDTF">2025-10-03T20:31:00Z</dcterms:created>
  <dcterms:modified xsi:type="dcterms:W3CDTF">2025-10-03T20:32:00Z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0x010100068FC3689D486D4F9C10B5FA9E8B8AB8</vt:lpwstr>
  </property>
</Properties>
</file>