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EB1" w:rsidRDefault="008573C3">
      <w:pPr>
        <w:pStyle w:val="Title"/>
        <w:rPr>
          <w:b w:val="0"/>
          <w:bCs/>
          <w:color w:val="000000"/>
        </w:rPr>
      </w:pPr>
      <w:bookmarkStart w:id="0" w:name="bookmark0"/>
      <w:bookmarkStart w:id="1" w:name="_GoBack"/>
      <w:bookmarkEnd w:id="1"/>
      <w:r>
        <w:t>LOCAL LAW NO. __– 20</w:t>
      </w:r>
      <w:bookmarkEnd w:id="0"/>
      <w:r>
        <w:t>__</w:t>
      </w:r>
      <w:r>
        <w:br/>
      </w:r>
      <w:r>
        <w:br/>
      </w:r>
      <w:bookmarkStart w:id="2" w:name="bookmark1"/>
      <w:r>
        <w:rPr>
          <w:b w:val="0"/>
          <w:bCs/>
          <w:color w:val="000000"/>
          <w:u w:val="none"/>
        </w:rPr>
        <w:t>A LOCAL LAW TO ESTABLISH A SUSTAINABLE ENERGY LOAN</w:t>
      </w:r>
      <w:r>
        <w:rPr>
          <w:b w:val="0"/>
          <w:bCs/>
          <w:color w:val="000000"/>
          <w:u w:val="none"/>
        </w:rPr>
        <w:br/>
        <w:t>PROGRAM (OPEN C-PACE) IN THE</w:t>
      </w:r>
      <w:bookmarkEnd w:id="2"/>
      <w:r>
        <w:rPr>
          <w:b w:val="0"/>
          <w:bCs/>
          <w:color w:val="000000"/>
          <w:u w:val="none"/>
        </w:rPr>
        <w:t> ______________</w:t>
      </w:r>
    </w:p>
    <w:p w:rsidR="009A2EB1" w:rsidRDefault="008573C3">
      <w:pPr>
        <w:pStyle w:val="BodyText"/>
      </w:pPr>
      <w:r>
        <w:t xml:space="preserve">Be it enacted by the [County/City/Town/Village] of </w:t>
      </w:r>
      <w:r>
        <w:rPr>
          <w:bCs/>
          <w:color w:val="000000"/>
        </w:rPr>
        <w:t xml:space="preserve">______________ (the “Municipality”) </w:t>
      </w:r>
      <w:r>
        <w:t>as follows:</w:t>
      </w:r>
    </w:p>
    <w:p w:rsidR="009A2EB1" w:rsidRDefault="008573C3">
      <w:pPr>
        <w:pStyle w:val="Heading1"/>
        <w:rPr>
          <w:b w:val="0"/>
        </w:rPr>
      </w:pPr>
      <w:r>
        <w:rPr>
          <w:b w:val="0"/>
        </w:rPr>
        <w:t xml:space="preserve">This local law shall be known as </w:t>
      </w:r>
      <w:r>
        <w:rPr>
          <w:b w:val="0"/>
        </w:rPr>
        <w:t>the “Energize NY Open C-PACE Financing Program” and shall read as follows:</w:t>
      </w:r>
    </w:p>
    <w:p w:rsidR="009A2EB1" w:rsidRDefault="008573C3">
      <w:pPr>
        <w:pStyle w:val="Heading2"/>
      </w:pPr>
    </w:p>
    <w:p w:rsidR="009A2EB1" w:rsidRDefault="008573C3">
      <w:pPr>
        <w:pStyle w:val="Heading3"/>
      </w:pPr>
      <w:bookmarkStart w:id="3" w:name="bookmark3"/>
      <w:r>
        <w:t>Legislative findings, intent and purpose, authority</w:t>
      </w:r>
      <w:r>
        <w:rPr>
          <w:b w:val="0"/>
        </w:rPr>
        <w:t>.</w:t>
      </w:r>
      <w:bookmarkEnd w:id="3"/>
    </w:p>
    <w:p w:rsidR="009A2EB1" w:rsidRDefault="008573C3">
      <w:pPr>
        <w:pStyle w:val="Heading4"/>
      </w:pPr>
      <w:r>
        <w:t xml:space="preserve">It is the policy of both the </w:t>
      </w:r>
      <w:r>
        <w:rPr>
          <w:bCs/>
          <w:color w:val="000000"/>
        </w:rPr>
        <w:t>Municipality</w:t>
      </w:r>
      <w:r>
        <w:rPr>
          <w:bCs/>
        </w:rPr>
        <w:t xml:space="preserve"> </w:t>
      </w:r>
      <w:r>
        <w:t>and the State of New York (the “State”) to achieve energy efficiency and renewable en</w:t>
      </w:r>
      <w:r>
        <w:t>ergy improvements, reduce greenhouse gas emissions, mitigate the effect of global climate change, and advance a clean energy economy. The Municipality</w:t>
      </w:r>
      <w:r>
        <w:rPr>
          <w:bCs/>
        </w:rPr>
        <w:t xml:space="preserve"> </w:t>
      </w:r>
      <w:r>
        <w:t xml:space="preserve">finds that it can fulfill this policy by providing property assessed clean energy financing to Qualified </w:t>
      </w:r>
      <w:r>
        <w:t>Property Owners (as defined below) for the installation of renewable energy systems and energy efficiency measures. This local law establishes a program that will allow the Energy Improvement Corporation (as defined below, “EIC”), a local development corpo</w:t>
      </w:r>
      <w:r>
        <w:t xml:space="preserve">ration, acting on behalf of the </w:t>
      </w:r>
      <w:r>
        <w:rPr>
          <w:bCs/>
          <w:color w:val="000000"/>
        </w:rPr>
        <w:t>Municipality</w:t>
      </w:r>
      <w:r>
        <w:t xml:space="preserve"> pursuant to the municipal agreement (the “Municipal Agreement”) to be entered into between the </w:t>
      </w:r>
      <w:r>
        <w:rPr>
          <w:bCs/>
          <w:color w:val="000000"/>
        </w:rPr>
        <w:t>Municipality</w:t>
      </w:r>
      <w:r>
        <w:t xml:space="preserve"> and EIC, to make funds available to Qualified Property Owners that will be repaid through charges on th</w:t>
      </w:r>
      <w:r>
        <w:t>e real properties benefited by such funds, thereby fulfilling the purposes of this local law and accomplishing an important public purpose.  This local law provides a method of implementing the public policies expressed by, and exercising the authority pro</w:t>
      </w:r>
      <w:r>
        <w:t>vided by, Article 5-L of the General Municipal Law (as defined below, the “Enabling Act”).</w:t>
      </w:r>
    </w:p>
    <w:p w:rsidR="009A2EB1" w:rsidRDefault="008573C3">
      <w:pPr>
        <w:pStyle w:val="Heading4"/>
      </w:pPr>
      <w:r>
        <w:t xml:space="preserve">The </w:t>
      </w:r>
      <w:r>
        <w:rPr>
          <w:bCs/>
          <w:color w:val="000000"/>
        </w:rPr>
        <w:t>Municipality</w:t>
      </w:r>
      <w:r>
        <w:t xml:space="preserve"> is authorized to execute, deliver and perform the Municipal Agreement and otherwise to implement this Energize NY Open C-PACE Financing Program purs</w:t>
      </w:r>
      <w:r>
        <w:t>uant to the Constitution and laws of New York, including particularly Article IX of the Constitution, Section 10 of the Municipal Home Rule Law, the Enabling Act and this local law.</w:t>
      </w:r>
    </w:p>
    <w:p w:rsidR="009A2EB1" w:rsidRDefault="008573C3">
      <w:pPr>
        <w:pStyle w:val="Heading4"/>
        <w:rPr>
          <w:bCs/>
        </w:rPr>
      </w:pPr>
      <w:r>
        <w:t>This local law, which is adopted pursuant to Section 10 of the Municipal H</w:t>
      </w:r>
      <w:r>
        <w:t>ome Rule Law and the Enabling Act shall be known and may be cited as the “Energize NY Open C-PACE Local Law</w:t>
      </w:r>
      <w:r>
        <w:rPr>
          <w:bCs/>
        </w:rPr>
        <w:t>”.</w:t>
      </w:r>
    </w:p>
    <w:p w:rsidR="009A2EB1" w:rsidRDefault="008573C3">
      <w:pPr>
        <w:pStyle w:val="Heading3"/>
      </w:pPr>
      <w:bookmarkStart w:id="4" w:name="bookmark4"/>
      <w:r>
        <w:t>Definitions</w:t>
      </w:r>
      <w:bookmarkEnd w:id="4"/>
    </w:p>
    <w:p w:rsidR="009A2EB1" w:rsidRDefault="008573C3">
      <w:pPr>
        <w:pStyle w:val="Heading4"/>
      </w:pPr>
      <w:r>
        <w:t>Capitalized terms used but not defined herein have the meanings assigned in the Enabling Act.</w:t>
      </w:r>
    </w:p>
    <w:p w:rsidR="009A2EB1" w:rsidRDefault="008573C3">
      <w:pPr>
        <w:pStyle w:val="Heading4"/>
      </w:pPr>
      <w:r>
        <w:lastRenderedPageBreak/>
        <w:t>For purposes of this local law, and unle</w:t>
      </w:r>
      <w:r>
        <w:t>ss otherwise expressly stated or unless the context requires, the following terms shall have the meanings indicated:</w:t>
      </w:r>
    </w:p>
    <w:p w:rsidR="009A2EB1" w:rsidRDefault="008573C3">
      <w:pPr>
        <w:pStyle w:val="BodyText"/>
        <w:rPr>
          <w:bCs/>
        </w:rPr>
      </w:pPr>
      <w:r>
        <w:rPr>
          <w:b/>
          <w:bCs/>
        </w:rPr>
        <w:t xml:space="preserve">Annual Installment Amount – </w:t>
      </w:r>
      <w:r>
        <w:rPr>
          <w:bCs/>
        </w:rPr>
        <w:t>shall have the meaning assigned in Section 8, paragraph B.</w:t>
      </w:r>
    </w:p>
    <w:p w:rsidR="009A2EB1" w:rsidRDefault="008573C3">
      <w:pPr>
        <w:pStyle w:val="BodyText"/>
        <w:rPr>
          <w:b/>
          <w:bCs/>
        </w:rPr>
      </w:pPr>
      <w:r>
        <w:rPr>
          <w:rFonts w:ascii="Times New Roman Bold" w:hAnsi="Times New Roman Bold"/>
          <w:b/>
          <w:bCs/>
        </w:rPr>
        <w:t>Annual Installment Lien</w:t>
      </w:r>
      <w:r>
        <w:rPr>
          <w:bCs/>
        </w:rPr>
        <w:t xml:space="preserve"> – shall have the meaning ass</w:t>
      </w:r>
      <w:r>
        <w:rPr>
          <w:bCs/>
        </w:rPr>
        <w:t>igned in Section 8 paragraph B.</w:t>
      </w:r>
    </w:p>
    <w:p w:rsidR="009A2EB1" w:rsidRDefault="008573C3">
      <w:pPr>
        <w:pStyle w:val="BodyText"/>
        <w:rPr>
          <w:bCs/>
        </w:rPr>
      </w:pPr>
      <w:r>
        <w:rPr>
          <w:b/>
          <w:bCs/>
        </w:rPr>
        <w:t>Authority</w:t>
      </w:r>
      <w:r>
        <w:rPr>
          <w:bCs/>
        </w:rPr>
        <w:t xml:space="preserve"> – the New York State Energy Research and Development Authority.</w:t>
      </w:r>
    </w:p>
    <w:p w:rsidR="009A2EB1" w:rsidRDefault="008573C3">
      <w:pPr>
        <w:pStyle w:val="BodyText"/>
        <w:rPr>
          <w:bCs/>
        </w:rPr>
      </w:pPr>
      <w:r>
        <w:rPr>
          <w:b/>
          <w:color w:val="000000"/>
        </w:rPr>
        <w:t>Benefit Assessment Lien</w:t>
      </w:r>
      <w:r>
        <w:rPr>
          <w:color w:val="000000"/>
        </w:rPr>
        <w:t xml:space="preserve"> </w:t>
      </w:r>
      <w:r>
        <w:rPr>
          <w:b/>
          <w:bCs/>
        </w:rPr>
        <w:t xml:space="preserve">– </w:t>
      </w:r>
      <w:r>
        <w:rPr>
          <w:bCs/>
        </w:rPr>
        <w:t>shall have the meaning assigned in Section 3, paragraph A.</w:t>
      </w:r>
    </w:p>
    <w:p w:rsidR="009A2EB1" w:rsidRDefault="008573C3">
      <w:pPr>
        <w:pStyle w:val="BodyText"/>
        <w:rPr>
          <w:bCs/>
        </w:rPr>
      </w:pPr>
      <w:r>
        <w:rPr>
          <w:b/>
          <w:bCs/>
        </w:rPr>
        <w:t>Benefited Property –</w:t>
      </w:r>
      <w:r>
        <w:rPr>
          <w:bCs/>
        </w:rPr>
        <w:t xml:space="preserve"> Qualified Property for which the Qualified P</w:t>
      </w:r>
      <w:r>
        <w:rPr>
          <w:bCs/>
        </w:rPr>
        <w:t>roperty Owner has entered into a Finance Agreement for a Qualified Project.</w:t>
      </w:r>
    </w:p>
    <w:p w:rsidR="009A2EB1" w:rsidRDefault="008573C3">
      <w:pPr>
        <w:pStyle w:val="BodyText"/>
        <w:rPr>
          <w:b/>
          <w:bCs/>
        </w:rPr>
      </w:pPr>
      <w:r>
        <w:rPr>
          <w:rFonts w:ascii="Times New Roman Bold" w:hAnsi="Times New Roman Bold"/>
          <w:b/>
          <w:bCs/>
        </w:rPr>
        <w:t>Benefited Property Owner</w:t>
      </w:r>
      <w:r>
        <w:rPr>
          <w:bCs/>
        </w:rPr>
        <w:t xml:space="preserve"> – the owner of record of a Benefited Property.</w:t>
      </w:r>
    </w:p>
    <w:p w:rsidR="009A2EB1" w:rsidRDefault="008573C3">
      <w:pPr>
        <w:pStyle w:val="BodyText"/>
      </w:pPr>
      <w:r>
        <w:rPr>
          <w:b/>
          <w:bCs/>
        </w:rPr>
        <w:t>EIC</w:t>
      </w:r>
      <w:r>
        <w:rPr>
          <w:bCs/>
        </w:rPr>
        <w:t xml:space="preserve"> –</w:t>
      </w:r>
      <w:r>
        <w:t xml:space="preserve"> the Energy Improvement Corporation, a local development corporation, duly organized under section 1411</w:t>
      </w:r>
      <w:r>
        <w:t xml:space="preserve"> of the Not-For-Profit Corporation Law of the State, authorized hereby on behalf of the </w:t>
      </w:r>
      <w:r>
        <w:rPr>
          <w:bCs/>
        </w:rPr>
        <w:t xml:space="preserve">Municipality </w:t>
      </w:r>
      <w:r>
        <w:t xml:space="preserve">to implement the Program by providing funds to Qualified Property Owners and providing for repayment of such funds from money collected by or on behalf of </w:t>
      </w:r>
      <w:r>
        <w:t xml:space="preserve">the </w:t>
      </w:r>
      <w:r>
        <w:rPr>
          <w:bCs/>
        </w:rPr>
        <w:t xml:space="preserve">Municipality </w:t>
      </w:r>
      <w:r>
        <w:t>as a charge to be levied on the real property</w:t>
      </w:r>
      <w:r>
        <w:t>.</w:t>
      </w:r>
    </w:p>
    <w:p w:rsidR="00773BA3" w:rsidRDefault="008573C3">
      <w:pPr>
        <w:pStyle w:val="BodyText"/>
      </w:pPr>
      <w:r w:rsidRPr="00773BA3">
        <w:rPr>
          <w:b/>
        </w:rPr>
        <w:t>Eligible Costs</w:t>
      </w:r>
      <w:r w:rsidRPr="00773BA3">
        <w:t xml:space="preserve"> </w:t>
      </w:r>
      <w:r>
        <w:rPr>
          <w:bCs/>
        </w:rPr>
        <w:t xml:space="preserve"> –</w:t>
      </w:r>
      <w:r>
        <w:t xml:space="preserve"> </w:t>
      </w:r>
      <w:r w:rsidRPr="00093380">
        <w:t>costs incurred by the Benefited Property Owner in connection with a Qualified Project and the related Financ</w:t>
      </w:r>
      <w:r>
        <w:t>e</w:t>
      </w:r>
      <w:r w:rsidRPr="00093380">
        <w:t xml:space="preserve"> Agreement, including application fees, EIC’s Program administration fee, closing costs and fees, title and appraisal fees, professionals’ fees, permits, fees for design and drawings and any other related fees, expenses and costs, in each case as approved </w:t>
      </w:r>
      <w:r w:rsidRPr="00093380">
        <w:t>by EIC and the Financing Party under the Finance Agreement</w:t>
      </w:r>
    </w:p>
    <w:p w:rsidR="009A2EB1" w:rsidRDefault="008573C3">
      <w:pPr>
        <w:pStyle w:val="BodyText"/>
      </w:pPr>
      <w:r>
        <w:rPr>
          <w:b/>
        </w:rPr>
        <w:t>Enabling Act</w:t>
      </w:r>
      <w:r>
        <w:t xml:space="preserve"> – Article 5-L of the General Municipal Law of the State, or a successor law, as in effect from time to time.</w:t>
      </w:r>
    </w:p>
    <w:p w:rsidR="009A2EB1" w:rsidRDefault="008573C3">
      <w:pPr>
        <w:pStyle w:val="BodyText"/>
      </w:pPr>
      <w:r>
        <w:rPr>
          <w:b/>
        </w:rPr>
        <w:t>Finance Agreement</w:t>
      </w:r>
      <w:r>
        <w:t xml:space="preserve"> – the finance agreement described in Section 6A of this l</w:t>
      </w:r>
      <w:r>
        <w:t xml:space="preserve">ocal law. </w:t>
      </w:r>
    </w:p>
    <w:p w:rsidR="007E66E2" w:rsidRDefault="008573C3">
      <w:pPr>
        <w:pStyle w:val="BodyText"/>
      </w:pPr>
      <w:r w:rsidRPr="00773BA3">
        <w:rPr>
          <w:b/>
        </w:rPr>
        <w:t>Financing Charges</w:t>
      </w:r>
      <w:r>
        <w:t xml:space="preserve"> – </w:t>
      </w:r>
      <w:r w:rsidRPr="00773BA3">
        <w:t xml:space="preserve">all charges, fees and expenses related to the </w:t>
      </w:r>
      <w:r>
        <w:t>l</w:t>
      </w:r>
      <w:r w:rsidRPr="00773BA3">
        <w:t>oan</w:t>
      </w:r>
      <w:r>
        <w:t xml:space="preserve"> under the Finance Agreement</w:t>
      </w:r>
      <w:r w:rsidRPr="00773BA3">
        <w:t xml:space="preserve"> including</w:t>
      </w:r>
      <w:r w:rsidRPr="007B446A">
        <w:t xml:space="preserve"> </w:t>
      </w:r>
      <w:r w:rsidRPr="00773BA3">
        <w:t>accrued interest, capitalized interest</w:t>
      </w:r>
      <w:r>
        <w:t xml:space="preserve">, </w:t>
      </w:r>
      <w:r w:rsidRPr="00773BA3">
        <w:t>prepayment premiums</w:t>
      </w:r>
      <w:r>
        <w:t>, and penalties as a result of a default or late payment</w:t>
      </w:r>
      <w:r>
        <w:t xml:space="preserve"> </w:t>
      </w:r>
      <w:r w:rsidRPr="005874CF">
        <w:t>and costs and reason</w:t>
      </w:r>
      <w:r w:rsidRPr="005874CF">
        <w:t xml:space="preserve">able attorneys’ fees incurred </w:t>
      </w:r>
      <w:r>
        <w:t xml:space="preserve">by the Financing Party </w:t>
      </w:r>
      <w:r w:rsidRPr="005874CF">
        <w:t>as a result of a foreclosure or other legal proceeding brought against the Benefited Property to enforce any delinquent Annual Installment Liens</w:t>
      </w:r>
      <w:r>
        <w:t>.</w:t>
      </w:r>
    </w:p>
    <w:p w:rsidR="009A2EB1" w:rsidRDefault="008573C3">
      <w:pPr>
        <w:pStyle w:val="BodyText"/>
      </w:pPr>
      <w:r>
        <w:rPr>
          <w:b/>
        </w:rPr>
        <w:t>Financing Parties</w:t>
      </w:r>
      <w:r>
        <w:t xml:space="preserve"> – </w:t>
      </w:r>
      <w:r>
        <w:t xml:space="preserve">Third party </w:t>
      </w:r>
      <w:r>
        <w:t>capital provider</w:t>
      </w:r>
      <w:r>
        <w:t>s</w:t>
      </w:r>
      <w:r>
        <w:t xml:space="preserve"> approve</w:t>
      </w:r>
      <w:r>
        <w:t>d by EIC to provide financing to Qualified Property Owners or other financial support to the Program</w:t>
      </w:r>
      <w:r>
        <w:t xml:space="preserve"> which have entered into separate agreements with EIC to administer the Program in the Municipality</w:t>
      </w:r>
      <w:r>
        <w:t xml:space="preserve">. </w:t>
      </w:r>
    </w:p>
    <w:p w:rsidR="009A2EB1" w:rsidRDefault="008573C3">
      <w:pPr>
        <w:pStyle w:val="BodyText"/>
      </w:pPr>
      <w:r>
        <w:rPr>
          <w:b/>
        </w:rPr>
        <w:t>Municipality</w:t>
      </w:r>
      <w:r>
        <w:t xml:space="preserve"> – the </w:t>
      </w:r>
      <w:r>
        <w:rPr>
          <w:u w:val="single"/>
        </w:rPr>
        <w:tab/>
      </w:r>
      <w:r>
        <w:rPr>
          <w:u w:val="single"/>
        </w:rPr>
        <w:tab/>
      </w:r>
      <w:r>
        <w:rPr>
          <w:u w:val="single"/>
        </w:rPr>
        <w:tab/>
      </w:r>
      <w:r>
        <w:t xml:space="preserve"> of </w:t>
      </w:r>
      <w:r>
        <w:rPr>
          <w:u w:val="single"/>
        </w:rPr>
        <w:tab/>
      </w:r>
      <w:r>
        <w:rPr>
          <w:u w:val="single"/>
        </w:rPr>
        <w:tab/>
      </w:r>
      <w:r>
        <w:rPr>
          <w:u w:val="single"/>
        </w:rPr>
        <w:tab/>
      </w:r>
      <w:r>
        <w:rPr>
          <w:u w:val="single"/>
        </w:rPr>
        <w:tab/>
      </w:r>
      <w:r>
        <w:t xml:space="preserve">, a municipality of the </w:t>
      </w:r>
      <w:r>
        <w:t>State</w:t>
      </w:r>
      <w:r>
        <w:t xml:space="preserve"> constituting a tax district as defined in Section 1102 of the </w:t>
      </w:r>
      <w:r>
        <w:t>RPTL</w:t>
      </w:r>
      <w:r>
        <w:t xml:space="preserve"> of the State</w:t>
      </w:r>
      <w:r>
        <w:t>.</w:t>
      </w:r>
    </w:p>
    <w:p w:rsidR="009A2EB1" w:rsidRDefault="008573C3">
      <w:pPr>
        <w:pStyle w:val="BodyText"/>
      </w:pPr>
      <w:r>
        <w:rPr>
          <w:b/>
        </w:rPr>
        <w:lastRenderedPageBreak/>
        <w:t xml:space="preserve">Municipal Lien </w:t>
      </w:r>
      <w:r>
        <w:t>– a lien on Qualified Property which secures the obligation to pay real property taxes, municipal charges, or governmentally imposed assessments in respec</w:t>
      </w:r>
      <w:r>
        <w:t>t of services or benefits to a Qualified Property.</w:t>
      </w:r>
    </w:p>
    <w:p w:rsidR="009A2EB1" w:rsidRDefault="008573C3">
      <w:pPr>
        <w:pStyle w:val="BodyText"/>
      </w:pPr>
      <w:r>
        <w:rPr>
          <w:b/>
        </w:rPr>
        <w:t>Non-Municipal Lien</w:t>
      </w:r>
      <w:r>
        <w:t xml:space="preserve"> – a lien on Qualified Property which secures any obligation other than the obligation to pay real property taxes, municipal charges, or governmentally-imposed assessments in respect of s</w:t>
      </w:r>
      <w:r>
        <w:t>ervices or benefits to a Qualified Property Owner or Qualified Property.</w:t>
      </w:r>
    </w:p>
    <w:p w:rsidR="009A2EB1" w:rsidRDefault="008573C3">
      <w:pPr>
        <w:pStyle w:val="BodyText"/>
      </w:pPr>
      <w:r>
        <w:rPr>
          <w:b/>
        </w:rPr>
        <w:t>Program</w:t>
      </w:r>
      <w:r>
        <w:t xml:space="preserve"> – the Energize NY Open C-PACE Financing Program authorized hereby.</w:t>
      </w:r>
    </w:p>
    <w:p w:rsidR="009A2EB1" w:rsidRDefault="008573C3">
      <w:pPr>
        <w:pStyle w:val="BodyText"/>
      </w:pPr>
      <w:r>
        <w:rPr>
          <w:b/>
        </w:rPr>
        <w:t>Qualified Project</w:t>
      </w:r>
      <w:r>
        <w:t xml:space="preserve"> – the acquisition, construction, reconstruction or equipping of </w:t>
      </w:r>
      <w:r>
        <w:rPr>
          <w:color w:val="000000"/>
        </w:rPr>
        <w:t>Energy Efficiency Improvem</w:t>
      </w:r>
      <w:r>
        <w:rPr>
          <w:color w:val="000000"/>
        </w:rPr>
        <w:t xml:space="preserve">ents or Renewable Energy Systems or other projects authorized under the Enabling Act on a </w:t>
      </w:r>
      <w:r>
        <w:t>Qualified Property, together with a related Energy Audit</w:t>
      </w:r>
      <w:r>
        <w:t xml:space="preserve">, </w:t>
      </w:r>
      <w:r>
        <w:t xml:space="preserve">Renewable Energy System Feasibility Study </w:t>
      </w:r>
      <w:r w:rsidRPr="00093380">
        <w:t xml:space="preserve">and/or other requirements under or pursuant to the </w:t>
      </w:r>
      <w:r w:rsidRPr="00093380">
        <w:t>Enabling Act</w:t>
      </w:r>
      <w:r>
        <w:t xml:space="preserve">, </w:t>
      </w:r>
      <w:r>
        <w:t xml:space="preserve">with funds provided in whole or in part by </w:t>
      </w:r>
      <w:r>
        <w:t xml:space="preserve">Financing Parties under </w:t>
      </w:r>
      <w:r>
        <w:t>the Program to achieve the purposes of the Enabling Act.</w:t>
      </w:r>
    </w:p>
    <w:p w:rsidR="009A2EB1" w:rsidRPr="0047211E" w:rsidRDefault="008573C3">
      <w:pPr>
        <w:pStyle w:val="BodyText"/>
        <w:rPr>
          <w:bCs/>
        </w:rPr>
      </w:pPr>
      <w:r>
        <w:rPr>
          <w:b/>
          <w:bCs/>
        </w:rPr>
        <w:t xml:space="preserve">Qualified Property </w:t>
      </w:r>
      <w:r>
        <w:t>–</w:t>
      </w:r>
      <w:r>
        <w:rPr>
          <w:bCs/>
        </w:rPr>
        <w:t xml:space="preserve"> </w:t>
      </w:r>
      <w:r>
        <w:rPr>
          <w:bCs/>
        </w:rPr>
        <w:t xml:space="preserve">Any real property other than a </w:t>
      </w:r>
      <w:r>
        <w:rPr>
          <w:bCs/>
        </w:rPr>
        <w:t>r</w:t>
      </w:r>
      <w:r>
        <w:t>esidential</w:t>
      </w:r>
      <w:r>
        <w:t xml:space="preserve"> building containing less than </w:t>
      </w:r>
      <w:r>
        <w:t xml:space="preserve">three </w:t>
      </w:r>
      <w:r>
        <w:t xml:space="preserve">dwelling units, </w:t>
      </w:r>
      <w:r>
        <w:t xml:space="preserve">which is </w:t>
      </w:r>
      <w:r>
        <w:t xml:space="preserve">within the boundaries of the </w:t>
      </w:r>
      <w:r>
        <w:rPr>
          <w:bCs/>
        </w:rPr>
        <w:t xml:space="preserve">Municipality </w:t>
      </w:r>
      <w:r>
        <w:t xml:space="preserve">that has been determined to be eligible to participate in the Program under the procedures for eligibility set forth under this local law </w:t>
      </w:r>
      <w:r>
        <w:t>and the Enabli</w:t>
      </w:r>
      <w:r>
        <w:t xml:space="preserve">ng Act </w:t>
      </w:r>
      <w:r>
        <w:t>and has become the site of a Qualified Project.</w:t>
      </w:r>
    </w:p>
    <w:p w:rsidR="009A2EB1" w:rsidRDefault="008573C3">
      <w:pPr>
        <w:pStyle w:val="BodyText"/>
      </w:pPr>
      <w:r>
        <w:rPr>
          <w:b/>
        </w:rPr>
        <w:t>Qualified Property Owner</w:t>
      </w:r>
      <w:r>
        <w:t xml:space="preserve"> – the owner of record of Qualified Property which has been determined by EIC to meet the requirements for participation in the Program as an owner, and any transferee owner of </w:t>
      </w:r>
      <w:r>
        <w:t>such Qualified Property.</w:t>
      </w:r>
    </w:p>
    <w:p w:rsidR="00F0587C" w:rsidRDefault="008573C3">
      <w:pPr>
        <w:pStyle w:val="BodyText"/>
      </w:pPr>
      <w:r w:rsidRPr="00F0587C">
        <w:rPr>
          <w:b/>
        </w:rPr>
        <w:t>RPTL</w:t>
      </w:r>
      <w:r>
        <w:t xml:space="preserve"> – the Real Property Tax Law of the State, as amended from time to time.</w:t>
      </w:r>
    </w:p>
    <w:p w:rsidR="009A2EB1" w:rsidRDefault="008573C3">
      <w:pPr>
        <w:pStyle w:val="BodyText"/>
      </w:pPr>
      <w:r>
        <w:rPr>
          <w:b/>
        </w:rPr>
        <w:t>Secured Amount</w:t>
      </w:r>
      <w:r>
        <w:t xml:space="preserve"> – as of any date, the aggregate amount of principal loaned to the Qualified Property Owner for a Qualified Project, together with </w:t>
      </w:r>
      <w:r>
        <w:t xml:space="preserve">Eligible </w:t>
      </w:r>
      <w:r>
        <w:t>Costs and Financing Charges</w:t>
      </w:r>
      <w:r>
        <w:t>, as provided herein or in the Finance Agr</w:t>
      </w:r>
      <w:r>
        <w:t>eement, as reduced pursuant to Section 8, paragraph C.</w:t>
      </w:r>
    </w:p>
    <w:p w:rsidR="009A2EB1" w:rsidRDefault="008573C3">
      <w:pPr>
        <w:pStyle w:val="BodyText"/>
      </w:pPr>
      <w:r>
        <w:rPr>
          <w:b/>
        </w:rPr>
        <w:t>State</w:t>
      </w:r>
      <w:r>
        <w:t xml:space="preserve"> </w:t>
      </w:r>
      <w:r>
        <w:rPr>
          <w:bCs/>
        </w:rPr>
        <w:t>–</w:t>
      </w:r>
      <w:r>
        <w:t xml:space="preserve"> the State of New York.</w:t>
      </w:r>
    </w:p>
    <w:p w:rsidR="009A2EB1" w:rsidRDefault="008573C3">
      <w:pPr>
        <w:pStyle w:val="Heading3"/>
      </w:pPr>
      <w:bookmarkStart w:id="5" w:name="bookmark5"/>
      <w:r>
        <w:t>Establishment of an Energize NY Open C-PACE Financing Program</w:t>
      </w:r>
      <w:bookmarkEnd w:id="5"/>
    </w:p>
    <w:p w:rsidR="00865B93" w:rsidRPr="00865B93" w:rsidRDefault="008573C3" w:rsidP="00865B93">
      <w:pPr>
        <w:pStyle w:val="Heading4"/>
        <w:rPr>
          <w:color w:val="000000"/>
        </w:rPr>
      </w:pPr>
      <w:r>
        <w:t>An Energize NY Open C-PACE Financing Pr</w:t>
      </w:r>
      <w:r>
        <w:t xml:space="preserve">ogram is hereby established by the </w:t>
      </w:r>
      <w:r>
        <w:rPr>
          <w:bCs/>
        </w:rPr>
        <w:t>Municipality</w:t>
      </w:r>
      <w:r>
        <w:t>, whereby EIC acting on its behalf pursuant to the Municipal Agreement, may arrange for the provision of funds</w:t>
      </w:r>
      <w:r>
        <w:t xml:space="preserve"> by Financing Parties</w:t>
      </w:r>
      <w:r>
        <w:t xml:space="preserve"> to Qualified Property Owners in accordance with the Enabling Act and the proc</w:t>
      </w:r>
      <w:r>
        <w:t xml:space="preserve">edures set forth under this local law, to finance the acquisition, construction, reconstruction, and installation of Qualified Projects and </w:t>
      </w:r>
      <w:r>
        <w:t xml:space="preserve">Eligible Costs and Financing Charges approved by EIC and </w:t>
      </w:r>
      <w:r>
        <w:t xml:space="preserve">by </w:t>
      </w:r>
      <w:r>
        <w:t xml:space="preserve">the Financing Party under the Finance Agreement. </w:t>
      </w:r>
      <w:r>
        <w:t xml:space="preserve"> EIC, o</w:t>
      </w:r>
      <w:r>
        <w:t>n behalf of the Municipality, and with the consent of the Benefited Property Owner, will record a Benefit Assessment Lien on the Benefited Property in the Secured Amount (the “Benefit Assessment Lien”) on the land records for the Municipality.  Such record</w:t>
      </w:r>
      <w:r>
        <w:t xml:space="preserve">ing shall be exempt from </w:t>
      </w:r>
      <w:r>
        <w:t xml:space="preserve">any </w:t>
      </w:r>
      <w:r>
        <w:t xml:space="preserve">charge, mortgage recording </w:t>
      </w:r>
      <w:r>
        <w:t>tax</w:t>
      </w:r>
      <w:r>
        <w:t xml:space="preserve"> or other fee</w:t>
      </w:r>
      <w:r>
        <w:t xml:space="preserve"> </w:t>
      </w:r>
      <w:r w:rsidRPr="00865B93">
        <w:rPr>
          <w:color w:val="000000"/>
        </w:rPr>
        <w:t xml:space="preserve">in the same manner as if recorded by the Municipality. </w:t>
      </w:r>
    </w:p>
    <w:p w:rsidR="009A2EB1" w:rsidRDefault="008573C3">
      <w:pPr>
        <w:pStyle w:val="Heading4"/>
      </w:pPr>
      <w:r>
        <w:t>Before a Qualified Property Owner</w:t>
      </w:r>
      <w:r>
        <w:t xml:space="preserve"> and </w:t>
      </w:r>
      <w:r>
        <w:t xml:space="preserve">a </w:t>
      </w:r>
      <w:r>
        <w:t>Financing Party</w:t>
      </w:r>
      <w:r>
        <w:t xml:space="preserve"> enter into a Finance Agreement</w:t>
      </w:r>
      <w:r>
        <w:t xml:space="preserve"> which result</w:t>
      </w:r>
      <w:r>
        <w:t>s</w:t>
      </w:r>
      <w:r>
        <w:t xml:space="preserve"> in </w:t>
      </w:r>
      <w:r>
        <w:t xml:space="preserve">a loan to </w:t>
      </w:r>
      <w:r>
        <w:t>finance a Qualified Project</w:t>
      </w:r>
      <w:r>
        <w:t>,</w:t>
      </w:r>
      <w:r>
        <w:t xml:space="preserve"> repayment of which is secured by </w:t>
      </w:r>
      <w:r>
        <w:t>a Benefit Assessment Lien</w:t>
      </w:r>
      <w:r>
        <w:t>,</w:t>
      </w:r>
      <w:r>
        <w:t xml:space="preserve"> </w:t>
      </w:r>
      <w:r>
        <w:t xml:space="preserve">a written consent from each existing mortgage holder of the Qualified Property shall be obtained, permitting the Benefit Assessment Lien </w:t>
      </w:r>
      <w:r>
        <w:t>and each Annual Installment Li</w:t>
      </w:r>
      <w:r>
        <w:t xml:space="preserve">en </w:t>
      </w:r>
      <w:r>
        <w:t>to take priority over all existing mortgages.</w:t>
      </w:r>
    </w:p>
    <w:p w:rsidR="009A2EB1" w:rsidRDefault="008573C3">
      <w:pPr>
        <w:pStyle w:val="Heading3"/>
      </w:pPr>
      <w:bookmarkStart w:id="6" w:name="bookmark6"/>
      <w:r>
        <w:t>Procedures for eligibility</w:t>
      </w:r>
      <w:bookmarkEnd w:id="6"/>
    </w:p>
    <w:p w:rsidR="009A2EB1" w:rsidRDefault="008573C3">
      <w:pPr>
        <w:pStyle w:val="Heading4"/>
      </w:pPr>
      <w:r>
        <w:t xml:space="preserve">Any property owner in the </w:t>
      </w:r>
      <w:r>
        <w:rPr>
          <w:bCs/>
        </w:rPr>
        <w:t xml:space="preserve">Municipality </w:t>
      </w:r>
      <w:r>
        <w:t xml:space="preserve">may submit an application to EIC on </w:t>
      </w:r>
      <w:r>
        <w:rPr>
          <w:color w:val="000000"/>
        </w:rPr>
        <w:t>such forms as have been prepared by EIC and made available to property owners on the website of EIC and a</w:t>
      </w:r>
      <w:r>
        <w:rPr>
          <w:color w:val="000000"/>
        </w:rPr>
        <w:t xml:space="preserve">t the </w:t>
      </w:r>
      <w:r>
        <w:rPr>
          <w:bCs/>
        </w:rPr>
        <w:t xml:space="preserve">Municipality’s </w:t>
      </w:r>
      <w:r>
        <w:rPr>
          <w:color w:val="000000"/>
        </w:rPr>
        <w:t>offices.</w:t>
      </w:r>
    </w:p>
    <w:p w:rsidR="009A2EB1" w:rsidRDefault="008573C3">
      <w:pPr>
        <w:pStyle w:val="Heading4"/>
      </w:pPr>
      <w:r>
        <w:t>Every application submitted by a property owner shall be reviewed by EIC</w:t>
      </w:r>
      <w:r>
        <w:t>,</w:t>
      </w:r>
      <w:r>
        <w:t xml:space="preserve"> acting on </w:t>
      </w:r>
      <w:r>
        <w:rPr>
          <w:color w:val="000000"/>
        </w:rPr>
        <w:t xml:space="preserve">behalf of the </w:t>
      </w:r>
      <w:r>
        <w:rPr>
          <w:bCs/>
        </w:rPr>
        <w:t>Municipality</w:t>
      </w:r>
      <w:r>
        <w:rPr>
          <w:color w:val="000000"/>
        </w:rPr>
        <w:t>, which shall make a positive or negative determination on such application based upon the criteria enumerated in th</w:t>
      </w:r>
      <w:r>
        <w:rPr>
          <w:color w:val="000000"/>
        </w:rPr>
        <w:t>e Enabling Act and § </w:t>
      </w:r>
      <w:r>
        <w:rPr>
          <w:color w:val="000000"/>
        </w:rPr>
        <w:fldChar w:fldCharType="begin"/>
      </w:r>
      <w:r>
        <w:rPr>
          <w:color w:val="000000"/>
        </w:rPr>
        <w:instrText xml:space="preserve"> REF  bookmark7 \h \n \t </w:instrText>
      </w:r>
      <w:r>
        <w:rPr>
          <w:color w:val="000000"/>
        </w:rPr>
      </w:r>
      <w:r>
        <w:rPr>
          <w:color w:val="000000"/>
        </w:rPr>
        <w:fldChar w:fldCharType="separate"/>
      </w:r>
      <w:r>
        <w:rPr>
          <w:color w:val="000000"/>
        </w:rPr>
        <w:t>5</w:t>
      </w:r>
      <w:r>
        <w:rPr>
          <w:color w:val="000000"/>
        </w:rPr>
        <w:fldChar w:fldCharType="end"/>
      </w:r>
      <w:r>
        <w:rPr>
          <w:color w:val="000000"/>
        </w:rPr>
        <w:t xml:space="preserve"> of this local law. EIC may also request further information from the property owner where necessary to aid in its determination.</w:t>
      </w:r>
    </w:p>
    <w:p w:rsidR="009A2EB1" w:rsidRDefault="008573C3">
      <w:pPr>
        <w:pStyle w:val="Heading4"/>
      </w:pPr>
      <w:r>
        <w:t>If a positive de</w:t>
      </w:r>
      <w:r>
        <w:t>termination on an application is made by EIC</w:t>
      </w:r>
      <w:r>
        <w:t>,</w:t>
      </w:r>
      <w:r>
        <w:t xml:space="preserve"> acting on behalf of the </w:t>
      </w:r>
      <w:r>
        <w:rPr>
          <w:bCs/>
        </w:rPr>
        <w:t>Municipality</w:t>
      </w:r>
      <w:r>
        <w:rPr>
          <w:color w:val="000000"/>
        </w:rPr>
        <w:t>, the property owner shall be deemed a Qualified Property Owner and shall be eligible to participate in the Program in accordance with § </w:t>
      </w:r>
      <w:r>
        <w:rPr>
          <w:color w:val="000000"/>
        </w:rPr>
        <w:fldChar w:fldCharType="begin"/>
      </w:r>
      <w:r>
        <w:rPr>
          <w:color w:val="000000"/>
        </w:rPr>
        <w:instrText xml:space="preserve"> REF  bookmark8 \h \n \t  \* MERGEFOR</w:instrText>
      </w:r>
      <w:r>
        <w:rPr>
          <w:color w:val="000000"/>
        </w:rPr>
        <w:instrText xml:space="preserve">MAT </w:instrText>
      </w:r>
      <w:r>
        <w:rPr>
          <w:color w:val="000000"/>
        </w:rPr>
      </w:r>
      <w:r>
        <w:rPr>
          <w:color w:val="000000"/>
        </w:rPr>
        <w:fldChar w:fldCharType="separate"/>
      </w:r>
      <w:r>
        <w:rPr>
          <w:color w:val="000000"/>
        </w:rPr>
        <w:t>6</w:t>
      </w:r>
      <w:r>
        <w:rPr>
          <w:color w:val="000000"/>
        </w:rPr>
        <w:fldChar w:fldCharType="end"/>
      </w:r>
      <w:r>
        <w:rPr>
          <w:color w:val="000000"/>
        </w:rPr>
        <w:t xml:space="preserve"> of this local law.</w:t>
      </w:r>
    </w:p>
    <w:p w:rsidR="009A2EB1" w:rsidRDefault="008573C3">
      <w:pPr>
        <w:pStyle w:val="Heading3"/>
      </w:pPr>
      <w:bookmarkStart w:id="7" w:name="bookmark7"/>
      <w:r>
        <w:t>Application criteria</w:t>
      </w:r>
      <w:bookmarkEnd w:id="7"/>
    </w:p>
    <w:p w:rsidR="009A2EB1" w:rsidRDefault="008573C3">
      <w:pPr>
        <w:pStyle w:val="BodyText"/>
      </w:pPr>
      <w:r>
        <w:t>Upon the submission of an application, EIC, acting on behalf of the Municipality, shall make a positive or negative determination on such applicati</w:t>
      </w:r>
      <w:r>
        <w:t>on based upon the following criteria for the making of a financing:</w:t>
      </w:r>
    </w:p>
    <w:p w:rsidR="009A2EB1" w:rsidRDefault="008573C3">
      <w:pPr>
        <w:pStyle w:val="Heading4"/>
      </w:pPr>
      <w:r>
        <w:t>The property owner may not be in bankruptcy and the property may not constitute property subject to any pending bankruptcy proceeding;</w:t>
      </w:r>
    </w:p>
    <w:p w:rsidR="009A2EB1" w:rsidRDefault="008573C3">
      <w:pPr>
        <w:pStyle w:val="Heading4"/>
      </w:pPr>
      <w:r>
        <w:t>The amount financed under the Program shall be repaid</w:t>
      </w:r>
      <w:r>
        <w:t xml:space="preserve"> over a term not to exceed the weighted average of the useful life of Renewable Energy Systems and Energy Efficiency Improvements to be installed on the property as determined by EIC;</w:t>
      </w:r>
    </w:p>
    <w:p w:rsidR="009A2EB1" w:rsidRDefault="008573C3">
      <w:pPr>
        <w:pStyle w:val="Heading4"/>
      </w:pPr>
      <w:r>
        <w:t>Sufficient funds are available from Financing Parties to provide financi</w:t>
      </w:r>
      <w:r>
        <w:t>ng to the property owner;</w:t>
      </w:r>
    </w:p>
    <w:p w:rsidR="009A2EB1" w:rsidRDefault="008573C3">
      <w:pPr>
        <w:pStyle w:val="Heading4"/>
      </w:pPr>
      <w:r>
        <w:t>The property owner is current in payments on any existing mortgage on the Qualified Property;</w:t>
      </w:r>
    </w:p>
    <w:p w:rsidR="009A2EB1" w:rsidRDefault="008573C3">
      <w:pPr>
        <w:pStyle w:val="Heading4"/>
      </w:pPr>
      <w:r>
        <w:t>The property owner is current in payments on any real property taxes on the Qualified Property; and</w:t>
      </w:r>
    </w:p>
    <w:p w:rsidR="009A2EB1" w:rsidRDefault="008573C3">
      <w:pPr>
        <w:pStyle w:val="Heading4"/>
      </w:pPr>
      <w:r>
        <w:t>Such additional criteria, not incons</w:t>
      </w:r>
      <w:r>
        <w:t>istent with the criteria set forth above, as the State, the Municipality, or EIC acting on its behalf, or other Financing Parties may set from time to time.</w:t>
      </w:r>
    </w:p>
    <w:p w:rsidR="009A2EB1" w:rsidRDefault="008573C3">
      <w:pPr>
        <w:pStyle w:val="Heading3"/>
      </w:pPr>
      <w:bookmarkStart w:id="8" w:name="bookmark8"/>
      <w:r>
        <w:t>Energize NY Finance Agreement</w:t>
      </w:r>
      <w:bookmarkEnd w:id="8"/>
    </w:p>
    <w:p w:rsidR="009A2EB1" w:rsidRDefault="008573C3">
      <w:pPr>
        <w:pStyle w:val="Heading4"/>
      </w:pPr>
      <w:r>
        <w:t>A Qualified Property Owner may participate in the Program through the</w:t>
      </w:r>
      <w:r>
        <w:t xml:space="preserve"> execution of a finance agreement made by and between</w:t>
      </w:r>
      <w:r>
        <w:t xml:space="preserve"> </w:t>
      </w:r>
      <w:r>
        <w:t>the Qualified Property Owner and a Financing Party</w:t>
      </w:r>
      <w:r>
        <w:t xml:space="preserve">, </w:t>
      </w:r>
      <w:r w:rsidRPr="00C454BD">
        <w:t xml:space="preserve">to which EIC, on behalf of the Municipality, </w:t>
      </w:r>
      <w:r>
        <w:t xml:space="preserve">shall </w:t>
      </w:r>
      <w:r w:rsidRPr="00C454BD">
        <w:t xml:space="preserve">be </w:t>
      </w:r>
      <w:r>
        <w:t>a third-</w:t>
      </w:r>
      <w:r w:rsidRPr="00C454BD">
        <w:t>party</w:t>
      </w:r>
      <w:r>
        <w:t xml:space="preserve"> </w:t>
      </w:r>
      <w:r>
        <w:t xml:space="preserve">beneficiary </w:t>
      </w:r>
      <w:r>
        <w:t xml:space="preserve">(the “Finance Agreement”).  Upon execution </w:t>
      </w:r>
      <w:r>
        <w:t xml:space="preserve">and delivery </w:t>
      </w:r>
      <w:r>
        <w:t>of the Finance Agreement, the property that is the subject of the Finance Agreement shall be deemed a “Benefited Property”).</w:t>
      </w:r>
    </w:p>
    <w:p w:rsidR="009A2EB1" w:rsidRDefault="008573C3">
      <w:pPr>
        <w:pStyle w:val="Heading4"/>
      </w:pPr>
      <w:r>
        <w:t xml:space="preserve">Upon execution </w:t>
      </w:r>
      <w:r>
        <w:t xml:space="preserve">and delivery </w:t>
      </w:r>
      <w:r>
        <w:t>of the Finance Agreement, the Benefited Propert</w:t>
      </w:r>
      <w:r>
        <w:t>y Owner shall be eligible to receive funds from the Financing Party</w:t>
      </w:r>
      <w:r>
        <w:rPr>
          <w:color w:val="000000"/>
        </w:rPr>
        <w:t xml:space="preserve"> for the acquisition, construction, and installation of </w:t>
      </w:r>
      <w:r>
        <w:rPr>
          <w:color w:val="000000"/>
        </w:rPr>
        <w:t xml:space="preserve">a Qualified Project, together with Eligible Costs and Financing Charges approved by EIC and </w:t>
      </w:r>
      <w:r>
        <w:rPr>
          <w:color w:val="000000"/>
        </w:rPr>
        <w:t xml:space="preserve">by </w:t>
      </w:r>
      <w:r>
        <w:rPr>
          <w:color w:val="000000"/>
        </w:rPr>
        <w:t>the Financing Party,</w:t>
      </w:r>
      <w:r>
        <w:rPr>
          <w:color w:val="000000"/>
        </w:rPr>
        <w:t xml:space="preserve"> provided the requ</w:t>
      </w:r>
      <w:r>
        <w:rPr>
          <w:color w:val="000000"/>
        </w:rPr>
        <w:t>irements of the Enabling Act, the Municipal Agreement and this local law have been met.</w:t>
      </w:r>
    </w:p>
    <w:p w:rsidR="009A2EB1" w:rsidRDefault="008573C3">
      <w:pPr>
        <w:pStyle w:val="Heading4"/>
      </w:pPr>
      <w:r>
        <w:t xml:space="preserve">The Finance Agreement shall include the terms and conditions of repayment </w:t>
      </w:r>
      <w:r>
        <w:t>of the Secured Amount and the Annual Installment Amounts.</w:t>
      </w:r>
    </w:p>
    <w:p w:rsidR="009A2EB1" w:rsidRDefault="008573C3">
      <w:pPr>
        <w:pStyle w:val="Heading4"/>
      </w:pPr>
      <w:r>
        <w:t>EIC may charge fees to offset the co</w:t>
      </w:r>
      <w:r>
        <w:t xml:space="preserve">sts of administering the Program and such fees, if not paid by the </w:t>
      </w:r>
      <w:r>
        <w:t>Financing Party</w:t>
      </w:r>
      <w:r>
        <w:t>, shall be added to the Secured Amount</w:t>
      </w:r>
      <w:r>
        <w:t>.</w:t>
      </w:r>
    </w:p>
    <w:p w:rsidR="009A2EB1" w:rsidRDefault="008573C3">
      <w:pPr>
        <w:pStyle w:val="Heading3"/>
      </w:pPr>
      <w:bookmarkStart w:id="9" w:name="bookmark10"/>
      <w:r>
        <w:t>Terms and conditions of repayment</w:t>
      </w:r>
      <w:bookmarkEnd w:id="9"/>
    </w:p>
    <w:p w:rsidR="009A2EB1" w:rsidRDefault="008573C3">
      <w:pPr>
        <w:pStyle w:val="BodyText"/>
      </w:pPr>
      <w:r>
        <w:t>The Finance Agreement shall set forth the terms and conditions of repayment in accordance with the f</w:t>
      </w:r>
      <w:r>
        <w:t>ollowing:</w:t>
      </w:r>
    </w:p>
    <w:p w:rsidR="009A2EB1" w:rsidRDefault="008573C3">
      <w:pPr>
        <w:pStyle w:val="Heading4"/>
        <w:rPr>
          <w:color w:val="000000"/>
        </w:rPr>
      </w:pPr>
      <w:r>
        <w:t>The principal amount of the funds loaned to the Benefited Property Owner</w:t>
      </w:r>
      <w:r>
        <w:t xml:space="preserve"> for the Qualified Project</w:t>
      </w:r>
      <w:r>
        <w:t xml:space="preserve">, together with </w:t>
      </w:r>
      <w:r>
        <w:t xml:space="preserve">Eligible Costs and Financing Charges approved by EIC and </w:t>
      </w:r>
      <w:r>
        <w:t xml:space="preserve">by </w:t>
      </w:r>
      <w:r>
        <w:t xml:space="preserve">the Financing Party, </w:t>
      </w:r>
      <w:r>
        <w:t>shall be specially assessed against the Benefited P</w:t>
      </w:r>
      <w:r>
        <w:t xml:space="preserve">roperty and will be evidenced by a </w:t>
      </w:r>
      <w:r>
        <w:t>Benefit Assessment L</w:t>
      </w:r>
      <w:r>
        <w:t xml:space="preserve">ien recorded against the Benefited Property on the land records on which liens are recorded for properties within the Municipality.  The special benefit assessment shall </w:t>
      </w:r>
      <w:r>
        <w:t>constitute a “charge” within th</w:t>
      </w:r>
      <w:r>
        <w:t xml:space="preserve">e meaning of the Enabling Act and shall </w:t>
      </w:r>
      <w:r>
        <w:t>be collected in annual installments in the amounts certified by the Financing Party</w:t>
      </w:r>
      <w:r>
        <w:t xml:space="preserve"> in a schedule provided at closing and made part of the Benefit Assessment Lien. </w:t>
      </w:r>
      <w:r>
        <w:t xml:space="preserve"> Said amount shall be annually </w:t>
      </w:r>
      <w:r>
        <w:rPr>
          <w:color w:val="000000"/>
        </w:rPr>
        <w:t>levied, billed and co</w:t>
      </w:r>
      <w:r>
        <w:rPr>
          <w:color w:val="000000"/>
        </w:rPr>
        <w:t xml:space="preserve">llected by EIC, on behalf of the </w:t>
      </w:r>
      <w:r>
        <w:rPr>
          <w:bCs/>
        </w:rPr>
        <w:t xml:space="preserve">Municipality, and shall be paid to the </w:t>
      </w:r>
      <w:r>
        <w:rPr>
          <w:color w:val="000000"/>
        </w:rPr>
        <w:t xml:space="preserve">Financing Party as provided in the Finance Agreement. </w:t>
      </w:r>
    </w:p>
    <w:p w:rsidR="009A2EB1" w:rsidRDefault="008573C3">
      <w:pPr>
        <w:pStyle w:val="Heading4"/>
      </w:pPr>
      <w:r>
        <w:t xml:space="preserve">The term of such repayment shall be determined at the time the Finance </w:t>
      </w:r>
      <w:r>
        <w:rPr>
          <w:color w:val="000000"/>
        </w:rPr>
        <w:t xml:space="preserve">Agreement is executed by the </w:t>
      </w:r>
      <w:r>
        <w:rPr>
          <w:color w:val="000000"/>
        </w:rPr>
        <w:t>Benefited P</w:t>
      </w:r>
      <w:r>
        <w:rPr>
          <w:color w:val="000000"/>
        </w:rPr>
        <w:t xml:space="preserve">roperty </w:t>
      </w:r>
      <w:r>
        <w:rPr>
          <w:color w:val="000000"/>
        </w:rPr>
        <w:t>O</w:t>
      </w:r>
      <w:r>
        <w:rPr>
          <w:color w:val="000000"/>
        </w:rPr>
        <w:t>wner</w:t>
      </w:r>
      <w:r>
        <w:rPr>
          <w:color w:val="000000"/>
        </w:rPr>
        <w:t xml:space="preserve"> and </w:t>
      </w:r>
      <w:r>
        <w:rPr>
          <w:color w:val="000000"/>
        </w:rPr>
        <w:t>the Financing Party</w:t>
      </w:r>
      <w:r>
        <w:rPr>
          <w:color w:val="000000"/>
        </w:rPr>
        <w:t xml:space="preserve">, </w:t>
      </w:r>
      <w:r>
        <w:rPr>
          <w:color w:val="000000"/>
        </w:rPr>
        <w:t>not to exceed the weighted average of the useful life of the systems and improvements as determined by EIC</w:t>
      </w:r>
      <w:r>
        <w:rPr>
          <w:color w:val="000000"/>
        </w:rPr>
        <w:t>,</w:t>
      </w:r>
      <w:r>
        <w:rPr>
          <w:color w:val="000000"/>
        </w:rPr>
        <w:t xml:space="preserve"> acting on behalf of the </w:t>
      </w:r>
      <w:r>
        <w:t>Municipality</w:t>
      </w:r>
      <w:r>
        <w:rPr>
          <w:color w:val="000000"/>
        </w:rPr>
        <w:t>.</w:t>
      </w:r>
    </w:p>
    <w:p w:rsidR="009A2EB1" w:rsidRDefault="008573C3">
      <w:pPr>
        <w:pStyle w:val="Heading4"/>
        <w:rPr>
          <w:color w:val="000000"/>
        </w:rPr>
      </w:pPr>
      <w:r>
        <w:t xml:space="preserve">The rate of interest for the </w:t>
      </w:r>
      <w:r>
        <w:t>Secured Amount</w:t>
      </w:r>
      <w:r>
        <w:t xml:space="preserve"> shall be fixed by </w:t>
      </w:r>
      <w:r>
        <w:t xml:space="preserve">the Financing Party in conjunction with </w:t>
      </w:r>
      <w:r>
        <w:t xml:space="preserve">EIC, acting on behalf of the Municipality, as provided in </w:t>
      </w:r>
      <w:r>
        <w:rPr>
          <w:color w:val="000000"/>
        </w:rPr>
        <w:t>the Finance Agreement.</w:t>
      </w:r>
    </w:p>
    <w:p w:rsidR="009A2EB1" w:rsidRDefault="008573C3">
      <w:pPr>
        <w:pStyle w:val="Heading4"/>
        <w:numPr>
          <w:ilvl w:val="0"/>
          <w:numId w:val="0"/>
        </w:numPr>
        <w:ind w:left="1080"/>
      </w:pPr>
    </w:p>
    <w:p w:rsidR="009A2EB1" w:rsidRDefault="008573C3" w:rsidP="0089510D">
      <w:pPr>
        <w:pStyle w:val="Heading3"/>
        <w:keepLines/>
      </w:pPr>
      <w:r>
        <w:t>Levy of Annual Installment Amoun</w:t>
      </w:r>
      <w:r>
        <w:t>t and Creation of Annual Installment Lien</w:t>
      </w:r>
    </w:p>
    <w:p w:rsidR="009A2EB1" w:rsidRPr="00865B93" w:rsidRDefault="008573C3" w:rsidP="00865B93">
      <w:pPr>
        <w:pStyle w:val="Heading4"/>
        <w:rPr>
          <w:color w:val="000000"/>
        </w:rPr>
      </w:pPr>
      <w:r>
        <w:t>Upon the making of the loan pursuant to the Finance Agreement, the Secured Amount shall become a special Benefit Assessment Lien on the Benefited Property in favor of the Municipality.  The amount of the Benefit As</w:t>
      </w:r>
      <w:r>
        <w:t xml:space="preserve">sessment Lien shall be the Secured Amount.  Evidence of the Benefit Assessment Lien shall be recorded by EIC, on behalf of the Municipality, in the land records for properties in the Municipality.  Such recording shall be exempt from </w:t>
      </w:r>
      <w:r>
        <w:t xml:space="preserve">any </w:t>
      </w:r>
      <w:r w:rsidRPr="001634CE">
        <w:t xml:space="preserve">charge, </w:t>
      </w:r>
      <w:r w:rsidRPr="001634CE">
        <w:t>mortgage recording tax or other fee</w:t>
      </w:r>
      <w:r>
        <w:t xml:space="preserve"> </w:t>
      </w:r>
      <w:r w:rsidRPr="00865B93">
        <w:rPr>
          <w:color w:val="000000"/>
        </w:rPr>
        <w:t xml:space="preserve">in the same manner as if recorded by the </w:t>
      </w:r>
      <w:r>
        <w:rPr>
          <w:color w:val="000000"/>
        </w:rPr>
        <w:t>Municipality</w:t>
      </w:r>
      <w:r>
        <w:t>.</w:t>
      </w:r>
      <w:r>
        <w:t xml:space="preserve">  The Benefit Assessment Lien shall not be foreclosed upon by or otherwise enforced by the Municipality.</w:t>
      </w:r>
    </w:p>
    <w:p w:rsidR="009A2EB1" w:rsidRPr="00865B93" w:rsidRDefault="008573C3" w:rsidP="00865B93">
      <w:pPr>
        <w:pStyle w:val="Heading4"/>
        <w:rPr>
          <w:color w:val="000000"/>
        </w:rPr>
      </w:pPr>
      <w:r>
        <w:t>The Financ</w:t>
      </w:r>
      <w:r>
        <w:t>e</w:t>
      </w:r>
      <w:r>
        <w:t xml:space="preserve"> Agreement shall provide for the repayment of the </w:t>
      </w:r>
      <w:r>
        <w:t xml:space="preserve">Secured Amount in installments made at least annually, </w:t>
      </w:r>
      <w:r>
        <w:t xml:space="preserve">as provided in a schedule attached to the Benefit Assessment Lien </w:t>
      </w:r>
      <w:r>
        <w:t>(the “Annual Installment Amount”)</w:t>
      </w:r>
      <w:r>
        <w:t>.  The Annual Installment Amount</w:t>
      </w:r>
      <w:r>
        <w:t xml:space="preserve"> shall be levied by EIC, on behalf of the Municipality, on the Benefit</w:t>
      </w:r>
      <w:r>
        <w:t xml:space="preserve">ed Property in the same manner as levies for municipal </w:t>
      </w:r>
      <w:r>
        <w:t>charges</w:t>
      </w:r>
      <w:r>
        <w:t>, shall become a lien on the Benefited Property as of the first day of January of the fiscal year for which levied (the “Annual Installment Lien”) and shall remain a lien until paid.  The creati</w:t>
      </w:r>
      <w:r>
        <w:t xml:space="preserve">on or any recording of the Annual Installment Lien shall be exempt from </w:t>
      </w:r>
      <w:r>
        <w:t xml:space="preserve">any </w:t>
      </w:r>
      <w:r>
        <w:rPr>
          <w:color w:val="000000"/>
        </w:rPr>
        <w:t>charge, mortgage recording tax or other fee</w:t>
      </w:r>
      <w:r w:rsidRPr="00865B93">
        <w:rPr>
          <w:color w:val="000000"/>
        </w:rPr>
        <w:t xml:space="preserve"> in the same manner as if recorded by the </w:t>
      </w:r>
      <w:r>
        <w:rPr>
          <w:color w:val="000000"/>
        </w:rPr>
        <w:t>Municipality</w:t>
      </w:r>
      <w:r>
        <w:t xml:space="preserve">.  Payment to the Financing Party shall be considered payment for this purpose.  </w:t>
      </w:r>
      <w:r>
        <w:t>Su</w:t>
      </w:r>
      <w:r>
        <w:t>ch payment shall partly or wholly discharge the Annual Installment Lien.  D</w:t>
      </w:r>
      <w:r>
        <w:t xml:space="preserve">elinquent Annual Installment Amounts may accrue </w:t>
      </w:r>
      <w:r>
        <w:t>Financing Charges</w:t>
      </w:r>
      <w:r>
        <w:t xml:space="preserve"> as may be provided in the Finance Agreement</w:t>
      </w:r>
      <w:r>
        <w:t>.</w:t>
      </w:r>
      <w:r>
        <w:t xml:space="preserve">  </w:t>
      </w:r>
      <w:r>
        <w:t>Any additional Financing Charges imposed by the Financing Party pursu</w:t>
      </w:r>
      <w:r>
        <w:t>ant to the</w:t>
      </w:r>
      <w:r>
        <w:t xml:space="preserve"> Finance Agreement shall increase the Annual Installment Amount and the Annual Installment Lien for the year in which such overdue payments were first due.</w:t>
      </w:r>
    </w:p>
    <w:p w:rsidR="009A2EB1" w:rsidRDefault="008573C3" w:rsidP="000F287B">
      <w:pPr>
        <w:pStyle w:val="Heading4"/>
      </w:pPr>
      <w:r>
        <w:t>The Benefit Assessment Lien shall be reduced annually by the amount of each Annual Install</w:t>
      </w:r>
      <w:r>
        <w:t>ment Lien when each Annual Installment Lien becomes a lien.  Each Annual Installment Lien shall be sub</w:t>
      </w:r>
      <w:r>
        <w:t>ordinate to all Municipal Liens</w:t>
      </w:r>
      <w:r>
        <w:t>, whether created by Section 902 of the RPTL or by any other State or local law.  No portion of a Secured Amount shall be r</w:t>
      </w:r>
      <w:r>
        <w:t xml:space="preserve">ecovered by the Municipality, EIC, or an assignee upon foreclosure, sale or other disposition of </w:t>
      </w:r>
      <w:r>
        <w:t xml:space="preserve">the </w:t>
      </w:r>
      <w:r>
        <w:t>Benefited Property unless and until all Municipal Liens are fully discharged</w:t>
      </w:r>
      <w:r>
        <w:t>.</w:t>
      </w:r>
      <w:r>
        <w:t xml:space="preserve"> </w:t>
      </w:r>
      <w:r>
        <w:t xml:space="preserve"> </w:t>
      </w:r>
      <w:r w:rsidRPr="006E6582">
        <w:t>Each Annual Installment Lien, however, shall have priority over all Non-Muni</w:t>
      </w:r>
      <w:r w:rsidRPr="006E6582">
        <w:t>cipal Liens</w:t>
      </w:r>
      <w:r>
        <w:t>, irrespective of when created</w:t>
      </w:r>
      <w:r>
        <w:t>, except as otherwise required by law</w:t>
      </w:r>
      <w:r>
        <w:t>.</w:t>
      </w:r>
    </w:p>
    <w:p w:rsidR="009A2EB1" w:rsidRDefault="008573C3">
      <w:pPr>
        <w:pStyle w:val="Heading4"/>
      </w:pPr>
      <w:r>
        <w:t>Neither the Benefit Assessment Lien nor any Annual Installment Lien shall be extinguished or accelerated in the event of a default or bankruptcy of the Benefited Property Owner</w:t>
      </w:r>
      <w:r>
        <w:t>.  Each Annual Installment Amount shall be considered a charge upon the Benefited Property and shall</w:t>
      </w:r>
      <w:r>
        <w:t xml:space="preserve"> be </w:t>
      </w:r>
      <w:r>
        <w:t xml:space="preserve"> collected by</w:t>
      </w:r>
      <w:r>
        <w:t xml:space="preserve"> EIC, on behalf of the Municipality,</w:t>
      </w:r>
      <w:r>
        <w:t xml:space="preserve">  at the same time and in the same manner as real property taxes</w:t>
      </w:r>
      <w:r>
        <w:t xml:space="preserve"> or municipal charges</w:t>
      </w:r>
      <w:r>
        <w:t>.</w:t>
      </w:r>
      <w:r>
        <w:t xml:space="preserve">  Each Annual Ins</w:t>
      </w:r>
      <w:r>
        <w:t>tallment Lien shall remain a lien until paid.  Amounts collected in respect of an Annual Installment Lien shall be remitted to EIC, on behalf of the Municipality, or the Financing Party, as may be prov</w:t>
      </w:r>
      <w:r>
        <w:t xml:space="preserve">ided in the Finance Agreement. </w:t>
      </w:r>
    </w:p>
    <w:p w:rsidR="004011FA" w:rsidRPr="009D2858" w:rsidRDefault="008573C3" w:rsidP="004011FA">
      <w:pPr>
        <w:pStyle w:val="Heading4"/>
      </w:pPr>
      <w:r>
        <w:t>EIC shall act as the Mu</w:t>
      </w:r>
      <w:r>
        <w:t xml:space="preserve">nicipality’s agent in collection of the Annual Installment Amounts.  </w:t>
      </w:r>
      <w:r w:rsidRPr="009D2858">
        <w:t>I</w:t>
      </w:r>
      <w:r>
        <w:t xml:space="preserve">f </w:t>
      </w:r>
      <w:r w:rsidRPr="009D2858">
        <w:t xml:space="preserve">any Benefited Property Owner fails to pay an Annual Installment Amount, </w:t>
      </w:r>
      <w:r>
        <w:t>the Financing Party may redeem the Benefited Property by paying the amount of all unpaid Municipal Liens thereon</w:t>
      </w:r>
      <w:r>
        <w:t xml:space="preserve">, and thereafter shall have the right to collect </w:t>
      </w:r>
      <w:r w:rsidRPr="009D2858">
        <w:t xml:space="preserve">any </w:t>
      </w:r>
      <w:r>
        <w:t xml:space="preserve">amounts in respect of an </w:t>
      </w:r>
      <w:r w:rsidRPr="009D2858">
        <w:t xml:space="preserve">Annual Installment </w:t>
      </w:r>
      <w:r>
        <w:t xml:space="preserve">Lien by foreclosure or any other remedy available at law.  </w:t>
      </w:r>
      <w:r>
        <w:t>Any foreclosure shall not affect any subsequent Annual Installment Liens.</w:t>
      </w:r>
    </w:p>
    <w:p w:rsidR="000F5FC4" w:rsidRDefault="008573C3" w:rsidP="000F5FC4">
      <w:pPr>
        <w:pStyle w:val="Heading4"/>
      </w:pPr>
      <w:r w:rsidRPr="000F5FC4">
        <w:t xml:space="preserve">EIC, on behalf of the </w:t>
      </w:r>
      <w:r w:rsidRPr="000F5FC4">
        <w:t>Municipality, may sell or assign for consideration any and all Benefit Assessment Liens and Annual Installment Liens to Financing Parties that provide financing to Qualified Properties pursuant to Finance Agreements.  The Financing Parties may sell or assi</w:t>
      </w:r>
      <w:r w:rsidRPr="000F5FC4">
        <w:t>gn for consideration any and all Benefit Assessment Liens and Annual Installment Liens received from EIC, on behalf of the Municipality</w:t>
      </w:r>
      <w:r>
        <w:t xml:space="preserve">, subject to certain conditions provided in the administration agreement between EIC and the Financing Party.  </w:t>
      </w:r>
      <w:r w:rsidRPr="000F5FC4">
        <w:t>The assign</w:t>
      </w:r>
      <w:r w:rsidRPr="000F5FC4">
        <w:t>ee or assignees of such Benefit Assessment Liens and Annual Installment Liens shall have and possess the same powers and rights at law or in equity as the Municipality would have had if the Benefit Assessment Lien and the Annual Installment Liens had not b</w:t>
      </w:r>
      <w:r w:rsidRPr="000F5FC4">
        <w:t xml:space="preserve">een assigned with regard to the precedence and priority of such lien, the accrual of interest and the fees and expenses of collection. </w:t>
      </w:r>
    </w:p>
    <w:p w:rsidR="009A2EB1" w:rsidRDefault="008573C3">
      <w:pPr>
        <w:pStyle w:val="Heading3"/>
      </w:pPr>
      <w:bookmarkStart w:id="10" w:name="bookmark11"/>
      <w:r>
        <w:t>Verification and report</w:t>
      </w:r>
      <w:bookmarkEnd w:id="10"/>
    </w:p>
    <w:p w:rsidR="009A2EB1" w:rsidRDefault="008573C3">
      <w:pPr>
        <w:pStyle w:val="Heading4"/>
        <w:numPr>
          <w:ilvl w:val="0"/>
          <w:numId w:val="0"/>
        </w:numPr>
        <w:ind w:left="1170"/>
        <w:rPr>
          <w:color w:val="000000"/>
        </w:rPr>
      </w:pPr>
      <w:r>
        <w:t xml:space="preserve">EIC, on behalf of the Municipality, shall verify and report on the installation and performance </w:t>
      </w:r>
      <w:r>
        <w:rPr>
          <w:color w:val="000000"/>
        </w:rPr>
        <w:t>of Renewable Energy Systems and Energy Efficiency Improvements financed by the Program in such form and manner as the Authority may establish.</w:t>
      </w:r>
    </w:p>
    <w:p w:rsidR="009A2EB1" w:rsidRDefault="008573C3">
      <w:pPr>
        <w:pStyle w:val="Heading3"/>
      </w:pPr>
      <w:r>
        <w:rPr>
          <w:b w:val="0"/>
        </w:rPr>
        <w:t>Separability.  If any clause, sentence, paragraph, section, or part of this local law shall be adjudged by any co</w:t>
      </w:r>
      <w:r>
        <w:rPr>
          <w:b w:val="0"/>
        </w:rPr>
        <w:t>urt of competent jurisdiction to be invalid, such judgment shall not effect, impair or invalidate the remainder thereof, but shall be confined in its operation to the clause, sentence, paragraph, section, or part thereof involved in the controversy in whic</w:t>
      </w:r>
      <w:r>
        <w:rPr>
          <w:b w:val="0"/>
        </w:rPr>
        <w:t>h such judgment shall have been rendered.</w:t>
      </w:r>
      <w:r>
        <w:t xml:space="preserve"> </w:t>
      </w:r>
    </w:p>
    <w:p w:rsidR="009A2EB1" w:rsidRDefault="008573C3">
      <w:pPr>
        <w:pStyle w:val="Heading1"/>
        <w:rPr>
          <w:b w:val="0"/>
        </w:rPr>
      </w:pPr>
      <w:r>
        <w:rPr>
          <w:b w:val="0"/>
        </w:rPr>
        <w:t xml:space="preserve">This local law shall take effect upon filing with the Secretary of State. </w:t>
      </w:r>
    </w:p>
    <w:p w:rsidR="009A2EB1" w:rsidRDefault="008573C3">
      <w:pPr>
        <w:pStyle w:val="Heading1"/>
        <w:keepNext w:val="0"/>
        <w:numPr>
          <w:ilvl w:val="0"/>
          <w:numId w:val="0"/>
        </w:numPr>
        <w:rPr>
          <w:b w:val="0"/>
        </w:rPr>
      </w:pPr>
    </w:p>
    <w:sectPr w:rsidR="009A2EB1">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573C3">
      <w:r>
        <w:separator/>
      </w:r>
    </w:p>
  </w:endnote>
  <w:endnote w:type="continuationSeparator" w:id="0">
    <w:p w:rsidR="00000000" w:rsidRDefault="0085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676" w:rsidRDefault="008573C3">
    <w:pPr>
      <w:pStyle w:val="Footer"/>
    </w:pPr>
    <w:r>
      <w:rPr>
        <w:rStyle w:val="DocInfo"/>
      </w:rPr>
      <w:fldChar w:fldCharType="begin"/>
    </w:r>
    <w:r>
      <w:rPr>
        <w:rStyle w:val="DocInfo"/>
      </w:rPr>
      <w:instrText xml:space="preserve"> DOCPROPERTY  xB  \* MERGEFORMAT </w:instrText>
    </w:r>
    <w:r>
      <w:rPr>
        <w:rStyle w:val="DocInfo"/>
      </w:rPr>
      <w:fldChar w:fldCharType="separate"/>
    </w:r>
    <w:r>
      <w:rPr>
        <w:rStyle w:val="DocInfo"/>
      </w:rPr>
      <w:t>73909695.24</w:t>
    </w:r>
    <w:r>
      <w:rPr>
        <w:rStyle w:val="DocInfo"/>
      </w:rPr>
      <w:fldChar w:fldCharType="end"/>
    </w:r>
    <w:r>
      <w:tab/>
      <w:t xml:space="preserve">- </w:t>
    </w:r>
    <w:r>
      <w:fldChar w:fldCharType="begin"/>
    </w:r>
    <w:r>
      <w:instrText xml:space="preserve"> PAGE   \* MERGEFORMAT </w:instrText>
    </w:r>
    <w:r>
      <w:fldChar w:fldCharType="separate"/>
    </w:r>
    <w:r>
      <w:rPr>
        <w:noProof/>
      </w:rPr>
      <w:t>7</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676" w:rsidRDefault="008573C3">
    <w:pPr>
      <w:pStyle w:val="Footer"/>
    </w:pPr>
    <w:r>
      <w:rPr>
        <w:rStyle w:val="DocInfo"/>
      </w:rPr>
      <w:fldChar w:fldCharType="begin"/>
    </w:r>
    <w:r>
      <w:rPr>
        <w:rStyle w:val="DocInfo"/>
      </w:rPr>
      <w:instrText xml:space="preserve"> DOCPROPERTY  xB  \* MERGEFORMAT </w:instrText>
    </w:r>
    <w:r>
      <w:rPr>
        <w:rStyle w:val="DocInfo"/>
      </w:rPr>
      <w:fldChar w:fldCharType="separate"/>
    </w:r>
    <w:r>
      <w:rPr>
        <w:rStyle w:val="DocInfo"/>
      </w:rPr>
      <w:t>73909695.24</w:t>
    </w:r>
    <w:r>
      <w:rPr>
        <w:rStyle w:val="DocInf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573C3">
      <w:r>
        <w:separator/>
      </w:r>
    </w:p>
  </w:footnote>
  <w:footnote w:type="continuationSeparator" w:id="0">
    <w:p w:rsidR="00000000" w:rsidRDefault="00857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676" w:rsidRDefault="008573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145E"/>
    <w:multiLevelType w:val="multilevel"/>
    <w:tmpl w:val="0400D1B0"/>
    <w:lvl w:ilvl="0">
      <w:start w:val="1"/>
      <w:numFmt w:val="decimal"/>
      <w:pStyle w:val="Heading1"/>
      <w:lvlText w:val="Section %1."/>
      <w:lvlJc w:val="left"/>
      <w:pPr>
        <w:tabs>
          <w:tab w:val="num" w:pos="1080"/>
        </w:tabs>
        <w:ind w:left="360" w:firstLine="0"/>
      </w:pPr>
      <w:rPr>
        <w:rFonts w:ascii="Times New Roman" w:hAnsi="Times New Roman" w:cs="Times New Roman"/>
        <w:b/>
        <w:i w:val="0"/>
        <w:caps w:val="0"/>
        <w:sz w:val="24"/>
        <w:u w:val="none"/>
      </w:rPr>
    </w:lvl>
    <w:lvl w:ilvl="1">
      <w:start w:val="1"/>
      <w:numFmt w:val="upperRoman"/>
      <w:pStyle w:val="Heading2"/>
      <w:suff w:val="nothing"/>
      <w:lvlText w:val="Article %2"/>
      <w:lvlJc w:val="left"/>
      <w:pPr>
        <w:tabs>
          <w:tab w:val="num" w:pos="1080"/>
        </w:tabs>
        <w:ind w:left="360" w:firstLine="0"/>
      </w:pPr>
      <w:rPr>
        <w:rFonts w:ascii="Times New Roman" w:hAnsi="Times New Roman" w:cs="Times New Roman"/>
        <w:b/>
        <w:i w:val="0"/>
        <w:caps/>
        <w:smallCaps w:val="0"/>
        <w:sz w:val="24"/>
        <w:u w:val="none"/>
      </w:rPr>
    </w:lvl>
    <w:lvl w:ilvl="2">
      <w:start w:val="1"/>
      <w:numFmt w:val="decimal"/>
      <w:pStyle w:val="Heading3"/>
      <w:lvlText w:val="§%3."/>
      <w:lvlJc w:val="left"/>
      <w:pPr>
        <w:tabs>
          <w:tab w:val="num" w:pos="1080"/>
        </w:tabs>
        <w:ind w:left="360" w:firstLine="0"/>
      </w:pPr>
      <w:rPr>
        <w:rFonts w:ascii="Times New Roman" w:hAnsi="Times New Roman" w:cs="Times New Roman"/>
        <w:b/>
        <w:i w:val="0"/>
        <w:caps w:val="0"/>
        <w:sz w:val="24"/>
        <w:u w:val="none"/>
      </w:rPr>
    </w:lvl>
    <w:lvl w:ilvl="3">
      <w:start w:val="1"/>
      <w:numFmt w:val="upperLetter"/>
      <w:pStyle w:val="Heading4"/>
      <w:lvlText w:val="%4."/>
      <w:lvlJc w:val="left"/>
      <w:pPr>
        <w:tabs>
          <w:tab w:val="num" w:pos="1080"/>
        </w:tabs>
        <w:ind w:left="1080" w:hanging="720"/>
      </w:pPr>
      <w:rPr>
        <w:rFonts w:ascii="Times New Roman" w:hAnsi="Times New Roman" w:cs="Times New Roman"/>
        <w:b w:val="0"/>
        <w:i w:val="0"/>
        <w:caps w:val="0"/>
        <w:sz w:val="24"/>
        <w:u w:val="none"/>
      </w:rPr>
    </w:lvl>
    <w:lvl w:ilvl="4">
      <w:start w:val="1"/>
      <w:numFmt w:val="lowerRoman"/>
      <w:pStyle w:val="Heading5"/>
      <w:lvlText w:val="(%5)"/>
      <w:lvlJc w:val="left"/>
      <w:pPr>
        <w:tabs>
          <w:tab w:val="num" w:pos="3960"/>
        </w:tabs>
        <w:ind w:left="360" w:firstLine="2880"/>
      </w:pPr>
      <w:rPr>
        <w:rFonts w:ascii="Times New Roman" w:hAnsi="Times New Roman" w:cs="Times New Roman"/>
        <w:b w:val="0"/>
        <w:i w:val="0"/>
        <w:caps w:val="0"/>
        <w:sz w:val="24"/>
        <w:u w:val="none"/>
      </w:rPr>
    </w:lvl>
    <w:lvl w:ilvl="5">
      <w:start w:val="1"/>
      <w:numFmt w:val="lowerRoman"/>
      <w:pStyle w:val="Heading6"/>
      <w:lvlText w:val="%6."/>
      <w:lvlJc w:val="left"/>
      <w:pPr>
        <w:tabs>
          <w:tab w:val="num" w:pos="4680"/>
        </w:tabs>
        <w:ind w:left="360" w:firstLine="3600"/>
      </w:pPr>
      <w:rPr>
        <w:rFonts w:ascii="Times New Roman" w:hAnsi="Times New Roman" w:cs="Times New Roman"/>
        <w:b w:val="0"/>
        <w:i w:val="0"/>
        <w:caps w:val="0"/>
        <w:sz w:val="24"/>
        <w:u w:val="none"/>
      </w:rPr>
    </w:lvl>
    <w:lvl w:ilvl="6">
      <w:start w:val="1"/>
      <w:numFmt w:val="decimal"/>
      <w:pStyle w:val="Heading7"/>
      <w:lvlText w:val="%7)"/>
      <w:lvlJc w:val="left"/>
      <w:pPr>
        <w:tabs>
          <w:tab w:val="num" w:pos="5400"/>
        </w:tabs>
        <w:ind w:left="360" w:firstLine="4320"/>
      </w:pPr>
      <w:rPr>
        <w:rFonts w:ascii="Times New Roman" w:hAnsi="Times New Roman" w:cs="Times New Roman"/>
        <w:b w:val="0"/>
        <w:i w:val="0"/>
        <w:caps w:val="0"/>
        <w:sz w:val="24"/>
        <w:u w:val="none"/>
      </w:rPr>
    </w:lvl>
    <w:lvl w:ilvl="7">
      <w:start w:val="1"/>
      <w:numFmt w:val="lowerLetter"/>
      <w:pStyle w:val="Heading8"/>
      <w:lvlText w:val="%8)"/>
      <w:lvlJc w:val="left"/>
      <w:pPr>
        <w:tabs>
          <w:tab w:val="num" w:pos="6120"/>
        </w:tabs>
        <w:ind w:left="360" w:firstLine="5040"/>
      </w:pPr>
      <w:rPr>
        <w:rFonts w:ascii="Times New Roman" w:hAnsi="Times New Roman" w:cs="Times New Roman"/>
        <w:b w:val="0"/>
        <w:i w:val="0"/>
        <w:caps w:val="0"/>
        <w:sz w:val="24"/>
        <w:u w:val="none"/>
      </w:rPr>
    </w:lvl>
    <w:lvl w:ilvl="8">
      <w:start w:val="1"/>
      <w:numFmt w:val="lowerRoman"/>
      <w:pStyle w:val="Heading9"/>
      <w:lvlText w:val="%9)"/>
      <w:lvlJc w:val="left"/>
      <w:pPr>
        <w:tabs>
          <w:tab w:val="num" w:pos="6840"/>
        </w:tabs>
        <w:ind w:left="360" w:firstLine="5760"/>
      </w:pPr>
      <w:rPr>
        <w:rFonts w:ascii="Times New Roman" w:hAnsi="Times New Roman" w:cs="Times New Roman"/>
        <w:b w:val="0"/>
        <w:i w:val="0"/>
        <w:caps w:val="0"/>
        <w:sz w:val="24"/>
        <w:u w:val="none"/>
      </w:rPr>
    </w:lvl>
  </w:abstractNum>
  <w:abstractNum w:abstractNumId="1" w15:restartNumberingAfterBreak="0">
    <w:nsid w:val="0AAB010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CurScheme" w:val="Standard"/>
    <w:docVar w:name="zzmpFixedCurScheme_9.0" w:val="2zzmpStandard"/>
    <w:docVar w:name="zzmpLTFontsClean" w:val="True"/>
    <w:docVar w:name="zzmpnSession" w:val="0.8553736"/>
    <w:docVar w:name="zzmpStandard" w:val="||Standard|2|3|1|1|2|33||0|2|33||1|2|33||1|0|0||1|0|0||1|0|0||1|0|0||1|0|0||1|0|0||"/>
  </w:docVars>
  <w:rsids>
    <w:rsidRoot w:val="008573C3"/>
    <w:rsid w:val="0085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D72C3-65F5-4650-B13B-0488DB1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24" w:qFormat="1"/>
    <w:lsdException w:name="heading 2" w:semiHidden="1" w:uiPriority="24" w:unhideWhenUsed="1" w:qFormat="1"/>
    <w:lsdException w:name="heading 3" w:uiPriority="24" w:qFormat="1"/>
    <w:lsdException w:name="heading 4" w:semiHidden="1" w:uiPriority="24" w:unhideWhenUsed="1" w:qFormat="1"/>
    <w:lsdException w:name="heading 5" w:semiHidden="1" w:uiPriority="24" w:unhideWhenUsed="1" w:qFormat="1"/>
    <w:lsdException w:name="heading 6" w:semiHidden="1" w:uiPriority="24" w:unhideWhenUsed="1" w:qFormat="1"/>
    <w:lsdException w:name="heading 7" w:semiHidden="1" w:uiPriority="24" w:unhideWhenUsed="1" w:qFormat="1"/>
    <w:lsdException w:name="heading 8" w:semiHidden="1" w:uiPriority="24" w:unhideWhenUsed="1" w:qFormat="1"/>
    <w:lsdException w:name="heading 9" w:semiHidden="1" w:uiPriority="2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uiPriority="34"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44"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9"/>
    <w:qFormat/>
    <w:pPr>
      <w:spacing w:after="0"/>
    </w:pPr>
    <w:rPr>
      <w:rFonts w:ascii="Times New Roman" w:hAnsi="Times New Roman"/>
    </w:rPr>
  </w:style>
  <w:style w:type="paragraph" w:styleId="Heading1">
    <w:name w:val="heading 1"/>
    <w:basedOn w:val="Normal"/>
    <w:next w:val="BodyText"/>
    <w:link w:val="Heading1Char"/>
    <w:uiPriority w:val="24"/>
    <w:qFormat/>
    <w:pPr>
      <w:keepNext/>
      <w:numPr>
        <w:numId w:val="1"/>
      </w:numPr>
      <w:spacing w:after="240"/>
      <w:jc w:val="both"/>
      <w:outlineLvl w:val="0"/>
    </w:pPr>
    <w:rPr>
      <w:rFonts w:eastAsia="Times New Roman" w:cs="Times New Roman"/>
      <w:b/>
      <w:szCs w:val="20"/>
    </w:rPr>
  </w:style>
  <w:style w:type="paragraph" w:styleId="Heading2">
    <w:name w:val="heading 2"/>
    <w:basedOn w:val="Normal"/>
    <w:next w:val="BodyText"/>
    <w:link w:val="Heading2Char"/>
    <w:uiPriority w:val="24"/>
    <w:qFormat/>
    <w:pPr>
      <w:keepNext/>
      <w:numPr>
        <w:ilvl w:val="1"/>
        <w:numId w:val="1"/>
      </w:numPr>
      <w:spacing w:after="240"/>
      <w:jc w:val="center"/>
      <w:outlineLvl w:val="1"/>
    </w:pPr>
    <w:rPr>
      <w:rFonts w:eastAsia="Times New Roman" w:cs="Times New Roman"/>
      <w:b/>
    </w:rPr>
  </w:style>
  <w:style w:type="paragraph" w:styleId="Heading3">
    <w:name w:val="heading 3"/>
    <w:basedOn w:val="Normal"/>
    <w:next w:val="BodyText"/>
    <w:link w:val="Heading3Char"/>
    <w:uiPriority w:val="24"/>
    <w:qFormat/>
    <w:pPr>
      <w:keepNext/>
      <w:numPr>
        <w:ilvl w:val="2"/>
        <w:numId w:val="1"/>
      </w:numPr>
      <w:spacing w:after="240"/>
      <w:jc w:val="both"/>
      <w:outlineLvl w:val="2"/>
    </w:pPr>
    <w:rPr>
      <w:rFonts w:eastAsia="Times New Roman" w:cs="Times New Roman"/>
      <w:b/>
    </w:rPr>
  </w:style>
  <w:style w:type="paragraph" w:styleId="Heading4">
    <w:name w:val="heading 4"/>
    <w:basedOn w:val="Normal"/>
    <w:next w:val="BodyText"/>
    <w:link w:val="Heading4Char"/>
    <w:uiPriority w:val="24"/>
    <w:qFormat/>
    <w:pPr>
      <w:numPr>
        <w:ilvl w:val="3"/>
        <w:numId w:val="1"/>
      </w:numPr>
      <w:spacing w:after="240"/>
      <w:jc w:val="both"/>
      <w:outlineLvl w:val="3"/>
    </w:pPr>
    <w:rPr>
      <w:rFonts w:eastAsia="Times New Roman" w:cs="Times New Roman"/>
    </w:rPr>
  </w:style>
  <w:style w:type="paragraph" w:styleId="Heading5">
    <w:name w:val="heading 5"/>
    <w:basedOn w:val="Normal"/>
    <w:next w:val="BodyText"/>
    <w:link w:val="Heading5Char"/>
    <w:uiPriority w:val="24"/>
    <w:qFormat/>
    <w:pPr>
      <w:numPr>
        <w:ilvl w:val="4"/>
        <w:numId w:val="1"/>
      </w:numPr>
      <w:spacing w:after="240"/>
      <w:jc w:val="both"/>
      <w:outlineLvl w:val="4"/>
    </w:pPr>
    <w:rPr>
      <w:rFonts w:eastAsia="Times New Roman" w:cs="Times New Roman"/>
    </w:rPr>
  </w:style>
  <w:style w:type="paragraph" w:styleId="Heading6">
    <w:name w:val="heading 6"/>
    <w:basedOn w:val="Normal"/>
    <w:next w:val="BodyText"/>
    <w:link w:val="Heading6Char"/>
    <w:uiPriority w:val="24"/>
    <w:qFormat/>
    <w:pPr>
      <w:numPr>
        <w:ilvl w:val="5"/>
        <w:numId w:val="1"/>
      </w:numPr>
      <w:spacing w:after="240"/>
      <w:jc w:val="both"/>
      <w:outlineLvl w:val="5"/>
    </w:pPr>
    <w:rPr>
      <w:rFonts w:eastAsia="Times New Roman" w:cs="Times New Roman"/>
    </w:rPr>
  </w:style>
  <w:style w:type="paragraph" w:styleId="Heading7">
    <w:name w:val="heading 7"/>
    <w:basedOn w:val="Normal"/>
    <w:next w:val="BodyText"/>
    <w:link w:val="Heading7Char"/>
    <w:uiPriority w:val="24"/>
    <w:qFormat/>
    <w:pPr>
      <w:numPr>
        <w:ilvl w:val="6"/>
        <w:numId w:val="1"/>
      </w:numPr>
      <w:spacing w:after="240"/>
      <w:jc w:val="both"/>
      <w:outlineLvl w:val="6"/>
    </w:pPr>
    <w:rPr>
      <w:rFonts w:eastAsia="Times New Roman" w:cs="Times New Roman"/>
    </w:rPr>
  </w:style>
  <w:style w:type="paragraph" w:styleId="Heading8">
    <w:name w:val="heading 8"/>
    <w:basedOn w:val="Normal"/>
    <w:next w:val="BodyText"/>
    <w:link w:val="Heading8Char"/>
    <w:uiPriority w:val="24"/>
    <w:qFormat/>
    <w:pPr>
      <w:numPr>
        <w:ilvl w:val="7"/>
        <w:numId w:val="1"/>
      </w:numPr>
      <w:spacing w:after="240"/>
      <w:jc w:val="both"/>
      <w:outlineLvl w:val="7"/>
    </w:pPr>
    <w:rPr>
      <w:rFonts w:eastAsia="Times New Roman" w:cs="Times New Roman"/>
    </w:rPr>
  </w:style>
  <w:style w:type="paragraph" w:styleId="Heading9">
    <w:name w:val="heading 9"/>
    <w:basedOn w:val="Normal"/>
    <w:next w:val="BodyText"/>
    <w:link w:val="Heading9Char"/>
    <w:uiPriority w:val="24"/>
    <w:qFormat/>
    <w:pPr>
      <w:numPr>
        <w:ilvl w:val="8"/>
        <w:numId w:val="1"/>
      </w:numPr>
      <w:spacing w:after="240"/>
      <w:jc w:val="both"/>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pPr>
      <w:spacing w:after="240"/>
      <w:jc w:val="both"/>
    </w:pPr>
  </w:style>
  <w:style w:type="character" w:customStyle="1" w:styleId="BodyTextChar">
    <w:name w:val="Body Text Char"/>
    <w:basedOn w:val="DefaultParagraphFont"/>
    <w:link w:val="BodyText"/>
    <w:uiPriority w:val="4"/>
    <w:rPr>
      <w:rFonts w:ascii="Times New Roman" w:hAnsi="Times New Roman"/>
    </w:rPr>
  </w:style>
  <w:style w:type="paragraph" w:styleId="BodyText2">
    <w:name w:val="Body Text 2"/>
    <w:basedOn w:val="BodyText"/>
    <w:link w:val="BodyText2Char"/>
    <w:uiPriority w:val="4"/>
    <w:qFormat/>
  </w:style>
  <w:style w:type="character" w:customStyle="1" w:styleId="BodyText2Char">
    <w:name w:val="Body Text 2 Char"/>
    <w:basedOn w:val="DefaultParagraphFont"/>
    <w:link w:val="BodyText2"/>
    <w:uiPriority w:val="4"/>
    <w:rPr>
      <w:rFonts w:ascii="Times New Roman" w:hAnsi="Times New Roman"/>
    </w:rPr>
  </w:style>
  <w:style w:type="paragraph" w:styleId="BodyText3">
    <w:name w:val="Body Text 3"/>
    <w:basedOn w:val="BodyText"/>
    <w:link w:val="BodyText3Char"/>
    <w:uiPriority w:val="4"/>
    <w:qFormat/>
    <w:rPr>
      <w:szCs w:val="16"/>
    </w:rPr>
  </w:style>
  <w:style w:type="character" w:customStyle="1" w:styleId="BodyText3Char">
    <w:name w:val="Body Text 3 Char"/>
    <w:basedOn w:val="DefaultParagraphFont"/>
    <w:link w:val="BodyText3"/>
    <w:uiPriority w:val="4"/>
    <w:rPr>
      <w:rFonts w:ascii="Times New Roman" w:hAnsi="Times New Roman"/>
      <w:sz w:val="24"/>
      <w:szCs w:val="16"/>
    </w:rPr>
  </w:style>
  <w:style w:type="paragraph" w:styleId="BlockText">
    <w:name w:val="Block Text"/>
    <w:basedOn w:val="Normal"/>
    <w:link w:val="BlockTextChar"/>
    <w:uiPriority w:val="9"/>
    <w:qFormat/>
    <w:pPr>
      <w:spacing w:after="240"/>
      <w:ind w:left="720" w:right="720"/>
      <w:jc w:val="both"/>
    </w:pPr>
    <w:rPr>
      <w:rFonts w:eastAsiaTheme="minorEastAsia"/>
      <w:iCs/>
    </w:rPr>
  </w:style>
  <w:style w:type="character" w:customStyle="1" w:styleId="BlockTextChar">
    <w:name w:val="Block Text Char"/>
    <w:basedOn w:val="DefaultParagraphFont"/>
    <w:link w:val="BlockText"/>
    <w:uiPriority w:val="9"/>
    <w:rPr>
      <w:rFonts w:ascii="Times New Roman" w:eastAsiaTheme="minorEastAsia" w:hAnsi="Times New Roman"/>
      <w:iCs/>
    </w:rPr>
  </w:style>
  <w:style w:type="paragraph" w:styleId="Title">
    <w:name w:val="Title"/>
    <w:basedOn w:val="Normal"/>
    <w:next w:val="BodyText"/>
    <w:link w:val="TitleChar"/>
    <w:uiPriority w:val="14"/>
    <w:qFormat/>
    <w:pPr>
      <w:keepNext/>
      <w:spacing w:after="240"/>
      <w:jc w:val="center"/>
      <w:outlineLvl w:val="0"/>
    </w:pPr>
    <w:rPr>
      <w:rFonts w:ascii="Times New Roman Bold" w:eastAsiaTheme="majorEastAsia" w:hAnsi="Times New Roman Bold" w:cstheme="majorBidi"/>
      <w:b/>
      <w:caps/>
      <w:szCs w:val="52"/>
      <w:u w:val="single"/>
    </w:rPr>
  </w:style>
  <w:style w:type="character" w:customStyle="1" w:styleId="TitleChar">
    <w:name w:val="Title Char"/>
    <w:basedOn w:val="DefaultParagraphFont"/>
    <w:link w:val="Title"/>
    <w:uiPriority w:val="14"/>
    <w:rPr>
      <w:rFonts w:ascii="Times New Roman Bold" w:eastAsiaTheme="majorEastAsia" w:hAnsi="Times New Roman Bold" w:cstheme="majorBidi"/>
      <w:b/>
      <w:caps/>
      <w:szCs w:val="52"/>
      <w:u w:val="single"/>
    </w:rPr>
  </w:style>
  <w:style w:type="paragraph" w:styleId="Subtitle">
    <w:name w:val="Subtitle"/>
    <w:basedOn w:val="Normal"/>
    <w:next w:val="BodyText"/>
    <w:link w:val="SubtitleChar"/>
    <w:uiPriority w:val="19"/>
    <w:qFormat/>
    <w:pPr>
      <w:keepNext/>
      <w:numPr>
        <w:ilvl w:val="1"/>
      </w:numPr>
      <w:spacing w:after="240"/>
      <w:jc w:val="center"/>
      <w:outlineLvl w:val="1"/>
    </w:pPr>
    <w:rPr>
      <w:rFonts w:eastAsiaTheme="majorEastAsia" w:cstheme="majorBidi"/>
      <w:b/>
      <w:iCs/>
      <w:caps/>
      <w:u w:val="single"/>
    </w:rPr>
  </w:style>
  <w:style w:type="character" w:customStyle="1" w:styleId="SubtitleChar">
    <w:name w:val="Subtitle Char"/>
    <w:basedOn w:val="DefaultParagraphFont"/>
    <w:link w:val="Subtitle"/>
    <w:uiPriority w:val="19"/>
    <w:rPr>
      <w:rFonts w:ascii="Times New Roman" w:eastAsiaTheme="majorEastAsia" w:hAnsi="Times New Roman" w:cstheme="majorBidi"/>
      <w:b/>
      <w:iCs/>
      <w:caps/>
      <w:u w:val="single"/>
    </w:rPr>
  </w:style>
  <w:style w:type="character" w:customStyle="1" w:styleId="Heading1Char">
    <w:name w:val="Heading 1 Char"/>
    <w:basedOn w:val="DefaultParagraphFont"/>
    <w:link w:val="Heading1"/>
    <w:uiPriority w:val="24"/>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24"/>
    <w:rPr>
      <w:rFonts w:ascii="Times New Roman" w:eastAsia="Times New Roman" w:hAnsi="Times New Roman" w:cs="Times New Roman"/>
      <w:b/>
    </w:rPr>
  </w:style>
  <w:style w:type="paragraph" w:styleId="Signature">
    <w:name w:val="Signature"/>
    <w:basedOn w:val="Normal"/>
    <w:link w:val="SignatureChar"/>
    <w:uiPriority w:val="29"/>
    <w:qFormat/>
    <w:pPr>
      <w:tabs>
        <w:tab w:val="right" w:pos="9360"/>
      </w:tabs>
      <w:spacing w:after="240"/>
      <w:ind w:left="4680"/>
    </w:pPr>
  </w:style>
  <w:style w:type="character" w:customStyle="1" w:styleId="Heading3Char">
    <w:name w:val="Heading 3 Char"/>
    <w:basedOn w:val="DefaultParagraphFont"/>
    <w:link w:val="Heading3"/>
    <w:uiPriority w:val="24"/>
    <w:rPr>
      <w:rFonts w:ascii="Times New Roman" w:eastAsia="Times New Roman" w:hAnsi="Times New Roman" w:cs="Times New Roman"/>
      <w:b/>
    </w:rPr>
  </w:style>
  <w:style w:type="character" w:customStyle="1" w:styleId="Heading4Char">
    <w:name w:val="Heading 4 Char"/>
    <w:basedOn w:val="DefaultParagraphFont"/>
    <w:link w:val="Heading4"/>
    <w:uiPriority w:val="24"/>
    <w:rPr>
      <w:rFonts w:ascii="Times New Roman" w:eastAsia="Times New Roman" w:hAnsi="Times New Roman" w:cs="Times New Roman"/>
    </w:rPr>
  </w:style>
  <w:style w:type="character" w:customStyle="1" w:styleId="Heading5Char">
    <w:name w:val="Heading 5 Char"/>
    <w:basedOn w:val="DefaultParagraphFont"/>
    <w:link w:val="Heading5"/>
    <w:uiPriority w:val="24"/>
    <w:rPr>
      <w:rFonts w:ascii="Times New Roman" w:eastAsia="Times New Roman" w:hAnsi="Times New Roman" w:cs="Times New Roman"/>
    </w:rPr>
  </w:style>
  <w:style w:type="character" w:customStyle="1" w:styleId="Heading6Char">
    <w:name w:val="Heading 6 Char"/>
    <w:basedOn w:val="DefaultParagraphFont"/>
    <w:link w:val="Heading6"/>
    <w:uiPriority w:val="24"/>
    <w:rPr>
      <w:rFonts w:ascii="Times New Roman" w:eastAsia="Times New Roman" w:hAnsi="Times New Roman" w:cs="Times New Roman"/>
    </w:rPr>
  </w:style>
  <w:style w:type="character" w:customStyle="1" w:styleId="Heading7Char">
    <w:name w:val="Heading 7 Char"/>
    <w:basedOn w:val="DefaultParagraphFont"/>
    <w:link w:val="Heading7"/>
    <w:uiPriority w:val="24"/>
    <w:rPr>
      <w:rFonts w:ascii="Times New Roman" w:eastAsia="Times New Roman" w:hAnsi="Times New Roman" w:cs="Times New Roman"/>
    </w:rPr>
  </w:style>
  <w:style w:type="character" w:customStyle="1" w:styleId="Heading8Char">
    <w:name w:val="Heading 8 Char"/>
    <w:basedOn w:val="DefaultParagraphFont"/>
    <w:link w:val="Heading8"/>
    <w:uiPriority w:val="24"/>
    <w:rPr>
      <w:rFonts w:ascii="Times New Roman" w:eastAsia="Times New Roman" w:hAnsi="Times New Roman" w:cs="Times New Roman"/>
    </w:rPr>
  </w:style>
  <w:style w:type="character" w:customStyle="1" w:styleId="Heading9Char">
    <w:name w:val="Heading 9 Char"/>
    <w:basedOn w:val="DefaultParagraphFont"/>
    <w:link w:val="Heading9"/>
    <w:uiPriority w:val="24"/>
    <w:rPr>
      <w:rFonts w:ascii="Times New Roman" w:eastAsia="Times New Roman" w:hAnsi="Times New Roman" w:cs="Times New Roman"/>
    </w:rPr>
  </w:style>
  <w:style w:type="character" w:customStyle="1" w:styleId="SignatureChar">
    <w:name w:val="Signature Char"/>
    <w:basedOn w:val="DefaultParagraphFont"/>
    <w:link w:val="Signature"/>
    <w:uiPriority w:val="29"/>
    <w:rPr>
      <w:rFonts w:ascii="Times New Roman" w:hAnsi="Times New Roman"/>
    </w:rPr>
  </w:style>
  <w:style w:type="paragraph" w:customStyle="1" w:styleId="TableHeading">
    <w:name w:val="Table Heading"/>
    <w:basedOn w:val="Normal"/>
    <w:link w:val="TableHeadingChar"/>
    <w:uiPriority w:val="29"/>
    <w:qFormat/>
    <w:pPr>
      <w:jc w:val="center"/>
    </w:pPr>
    <w:rPr>
      <w:b/>
    </w:rPr>
  </w:style>
  <w:style w:type="character" w:customStyle="1" w:styleId="TableHeadingChar">
    <w:name w:val="Table Heading Char"/>
    <w:basedOn w:val="DefaultParagraphFont"/>
    <w:link w:val="TableHeading"/>
    <w:uiPriority w:val="29"/>
    <w:rPr>
      <w:rFonts w:ascii="Times New Roman" w:hAnsi="Times New Roman"/>
      <w:b/>
      <w:sz w:val="24"/>
    </w:rPr>
  </w:style>
  <w:style w:type="paragraph" w:customStyle="1" w:styleId="TableText">
    <w:name w:val="Table Text"/>
    <w:basedOn w:val="Normal"/>
    <w:link w:val="TableTextChar"/>
    <w:uiPriority w:val="29"/>
    <w:qFormat/>
  </w:style>
  <w:style w:type="character" w:customStyle="1" w:styleId="TableTextChar">
    <w:name w:val="Table Text Char"/>
    <w:basedOn w:val="DefaultParagraphFont"/>
    <w:link w:val="TableText"/>
    <w:uiPriority w:val="29"/>
    <w:rPr>
      <w:rFonts w:ascii="Times New Roman" w:hAnsi="Times New Roman"/>
      <w:sz w:val="24"/>
    </w:rPr>
  </w:style>
  <w:style w:type="paragraph" w:styleId="Header">
    <w:name w:val="header"/>
    <w:basedOn w:val="Normal"/>
    <w:link w:val="HeaderChar"/>
    <w:uiPriority w:val="34"/>
    <w:qFormat/>
    <w:pPr>
      <w:tabs>
        <w:tab w:val="center" w:pos="4680"/>
        <w:tab w:val="right" w:pos="9360"/>
      </w:tabs>
    </w:pPr>
  </w:style>
  <w:style w:type="character" w:customStyle="1" w:styleId="HeaderChar">
    <w:name w:val="Header Char"/>
    <w:basedOn w:val="DefaultParagraphFont"/>
    <w:link w:val="Header"/>
    <w:uiPriority w:val="34"/>
    <w:rPr>
      <w:rFonts w:ascii="Times New Roman" w:hAnsi="Times New Roman"/>
      <w:sz w:val="24"/>
    </w:rPr>
  </w:style>
  <w:style w:type="paragraph" w:styleId="Footer">
    <w:name w:val="footer"/>
    <w:basedOn w:val="Normal"/>
    <w:link w:val="FooterChar"/>
    <w:uiPriority w:val="34"/>
    <w:qFormat/>
    <w:pPr>
      <w:tabs>
        <w:tab w:val="center" w:pos="4680"/>
        <w:tab w:val="right" w:pos="9360"/>
      </w:tabs>
    </w:pPr>
  </w:style>
  <w:style w:type="character" w:customStyle="1" w:styleId="FooterChar">
    <w:name w:val="Footer Char"/>
    <w:basedOn w:val="DefaultParagraphFont"/>
    <w:link w:val="Footer"/>
    <w:uiPriority w:val="34"/>
    <w:rPr>
      <w:rFonts w:ascii="Times New Roman" w:hAnsi="Times New Roman"/>
      <w:sz w:val="24"/>
    </w:rPr>
  </w:style>
  <w:style w:type="character" w:customStyle="1" w:styleId="DocInfo">
    <w:name w:val="DocInfo"/>
    <w:basedOn w:val="DefaultParagraphFont"/>
    <w:uiPriority w:val="39"/>
    <w:unhideWhenUsed/>
    <w:qFormat/>
    <w:rPr>
      <w:rFonts w:ascii="Times New Roman" w:hAnsi="Times New Roman"/>
      <w:sz w:val="16"/>
    </w:rPr>
  </w:style>
  <w:style w:type="character" w:styleId="PageNumber">
    <w:name w:val="page number"/>
    <w:basedOn w:val="DefaultParagraphFont"/>
    <w:uiPriority w:val="99"/>
    <w:semiHidden/>
    <w:unhideWhenUsed/>
    <w:rPr>
      <w:rFonts w:ascii="Times New Roman" w:hAnsi="Times New Roman"/>
      <w:sz w:val="24"/>
    </w:rPr>
  </w:style>
  <w:style w:type="paragraph" w:customStyle="1" w:styleId="StandardCont1">
    <w:name w:val="Standard Cont 1"/>
    <w:basedOn w:val="Normal"/>
    <w:link w:val="StandardCont1Char"/>
    <w:pPr>
      <w:spacing w:after="240"/>
      <w:ind w:firstLine="720"/>
      <w:jc w:val="both"/>
    </w:pPr>
    <w:rPr>
      <w:rFonts w:eastAsia="Times New Roman" w:cs="Times New Roman"/>
      <w:szCs w:val="20"/>
    </w:rPr>
  </w:style>
  <w:style w:type="character" w:customStyle="1" w:styleId="StandardCont1Char">
    <w:name w:val="Standard Cont 1 Char"/>
    <w:basedOn w:val="DefaultParagraphFont"/>
    <w:link w:val="StandardCont1"/>
    <w:rPr>
      <w:rFonts w:ascii="Times New Roman" w:eastAsia="Times New Roman" w:hAnsi="Times New Roman" w:cs="Times New Roman"/>
      <w:szCs w:val="20"/>
    </w:rPr>
  </w:style>
  <w:style w:type="paragraph" w:customStyle="1" w:styleId="StandardCont2">
    <w:name w:val="Standard Cont 2"/>
    <w:basedOn w:val="Normal"/>
    <w:link w:val="StandardCont2Char"/>
    <w:pPr>
      <w:spacing w:after="240"/>
      <w:ind w:firstLine="1440"/>
      <w:jc w:val="both"/>
    </w:pPr>
    <w:rPr>
      <w:rFonts w:eastAsia="Times New Roman" w:cs="Times New Roman"/>
    </w:rPr>
  </w:style>
  <w:style w:type="character" w:customStyle="1" w:styleId="StandardCont2Char">
    <w:name w:val="Standard Cont 2 Char"/>
    <w:basedOn w:val="DefaultParagraphFont"/>
    <w:link w:val="StandardCont2"/>
    <w:rPr>
      <w:rFonts w:ascii="Times New Roman" w:eastAsia="Times New Roman" w:hAnsi="Times New Roman" w:cs="Times New Roman"/>
    </w:rPr>
  </w:style>
  <w:style w:type="paragraph" w:customStyle="1" w:styleId="StandardCont3">
    <w:name w:val="Standard Cont 3"/>
    <w:basedOn w:val="Normal"/>
    <w:link w:val="StandardCont3Char"/>
    <w:pPr>
      <w:spacing w:after="240"/>
      <w:ind w:firstLine="2160"/>
      <w:jc w:val="both"/>
    </w:pPr>
    <w:rPr>
      <w:rFonts w:eastAsia="Times New Roman" w:cs="Times New Roman"/>
    </w:rPr>
  </w:style>
  <w:style w:type="character" w:customStyle="1" w:styleId="StandardCont3Char">
    <w:name w:val="Standard Cont 3 Char"/>
    <w:basedOn w:val="DefaultParagraphFont"/>
    <w:link w:val="StandardCont3"/>
    <w:rPr>
      <w:rFonts w:ascii="Times New Roman" w:eastAsia="Times New Roman" w:hAnsi="Times New Roman" w:cs="Times New Roman"/>
    </w:rPr>
  </w:style>
  <w:style w:type="paragraph" w:customStyle="1" w:styleId="StandardCont4">
    <w:name w:val="Standard Cont 4"/>
    <w:basedOn w:val="Normal"/>
    <w:link w:val="StandardCont4Char"/>
    <w:pPr>
      <w:spacing w:after="240"/>
      <w:ind w:firstLine="2880"/>
      <w:jc w:val="both"/>
    </w:pPr>
    <w:rPr>
      <w:rFonts w:eastAsia="Times New Roman" w:cs="Times New Roman"/>
    </w:rPr>
  </w:style>
  <w:style w:type="character" w:customStyle="1" w:styleId="StandardCont4Char">
    <w:name w:val="Standard Cont 4 Char"/>
    <w:basedOn w:val="DefaultParagraphFont"/>
    <w:link w:val="StandardCont4"/>
    <w:rPr>
      <w:rFonts w:ascii="Times New Roman" w:eastAsia="Times New Roman" w:hAnsi="Times New Roman" w:cs="Times New Roman"/>
    </w:rPr>
  </w:style>
  <w:style w:type="paragraph" w:customStyle="1" w:styleId="StandardCont5">
    <w:name w:val="Standard Cont 5"/>
    <w:basedOn w:val="Normal"/>
    <w:link w:val="StandardCont5Char"/>
    <w:pPr>
      <w:spacing w:after="240"/>
      <w:ind w:firstLine="3600"/>
      <w:jc w:val="both"/>
    </w:pPr>
    <w:rPr>
      <w:rFonts w:eastAsia="Times New Roman" w:cs="Times New Roman"/>
    </w:rPr>
  </w:style>
  <w:style w:type="character" w:customStyle="1" w:styleId="StandardCont5Char">
    <w:name w:val="Standard Cont 5 Char"/>
    <w:basedOn w:val="DefaultParagraphFont"/>
    <w:link w:val="StandardCont5"/>
    <w:rPr>
      <w:rFonts w:ascii="Times New Roman" w:eastAsia="Times New Roman" w:hAnsi="Times New Roman" w:cs="Times New Roman"/>
    </w:rPr>
  </w:style>
  <w:style w:type="paragraph" w:customStyle="1" w:styleId="StandardCont6">
    <w:name w:val="Standard Cont 6"/>
    <w:basedOn w:val="Normal"/>
    <w:link w:val="StandardCont6Char"/>
    <w:pPr>
      <w:spacing w:after="240"/>
      <w:ind w:firstLine="4320"/>
      <w:jc w:val="both"/>
    </w:pPr>
    <w:rPr>
      <w:rFonts w:eastAsia="Times New Roman" w:cs="Times New Roman"/>
    </w:rPr>
  </w:style>
  <w:style w:type="character" w:customStyle="1" w:styleId="StandardCont6Char">
    <w:name w:val="Standard Cont 6 Char"/>
    <w:basedOn w:val="DefaultParagraphFont"/>
    <w:link w:val="StandardCont6"/>
    <w:rPr>
      <w:rFonts w:ascii="Times New Roman" w:eastAsia="Times New Roman" w:hAnsi="Times New Roman" w:cs="Times New Roman"/>
    </w:rPr>
  </w:style>
  <w:style w:type="paragraph" w:customStyle="1" w:styleId="StandardCont7">
    <w:name w:val="Standard Cont 7"/>
    <w:basedOn w:val="Normal"/>
    <w:link w:val="StandardCont7Char"/>
    <w:pPr>
      <w:spacing w:after="240"/>
      <w:ind w:firstLine="5040"/>
      <w:jc w:val="both"/>
    </w:pPr>
    <w:rPr>
      <w:rFonts w:eastAsia="Times New Roman" w:cs="Times New Roman"/>
    </w:rPr>
  </w:style>
  <w:style w:type="character" w:customStyle="1" w:styleId="StandardCont7Char">
    <w:name w:val="Standard Cont 7 Char"/>
    <w:basedOn w:val="DefaultParagraphFont"/>
    <w:link w:val="StandardCont7"/>
    <w:rPr>
      <w:rFonts w:ascii="Times New Roman" w:eastAsia="Times New Roman" w:hAnsi="Times New Roman" w:cs="Times New Roman"/>
    </w:rPr>
  </w:style>
  <w:style w:type="paragraph" w:customStyle="1" w:styleId="StandardCont8">
    <w:name w:val="Standard Cont 8"/>
    <w:basedOn w:val="Normal"/>
    <w:link w:val="StandardCont8Char"/>
    <w:pPr>
      <w:spacing w:after="240"/>
      <w:ind w:firstLine="5760"/>
      <w:jc w:val="both"/>
    </w:pPr>
    <w:rPr>
      <w:rFonts w:eastAsia="Times New Roman" w:cs="Times New Roman"/>
    </w:rPr>
  </w:style>
  <w:style w:type="character" w:customStyle="1" w:styleId="StandardCont8Char">
    <w:name w:val="Standard Cont 8 Char"/>
    <w:basedOn w:val="DefaultParagraphFont"/>
    <w:link w:val="StandardCont8"/>
    <w:rPr>
      <w:rFonts w:ascii="Times New Roman" w:eastAsia="Times New Roman" w:hAnsi="Times New Roman" w:cs="Times New Roman"/>
    </w:rPr>
  </w:style>
  <w:style w:type="paragraph" w:customStyle="1" w:styleId="StandardCont9">
    <w:name w:val="Standard Cont 9"/>
    <w:basedOn w:val="Normal"/>
    <w:link w:val="StandardCont9Char"/>
    <w:pPr>
      <w:spacing w:after="240"/>
      <w:ind w:firstLine="6480"/>
      <w:jc w:val="both"/>
    </w:pPr>
    <w:rPr>
      <w:rFonts w:eastAsia="Times New Roman" w:cs="Times New Roman"/>
    </w:rPr>
  </w:style>
  <w:style w:type="character" w:customStyle="1" w:styleId="StandardCont9Char">
    <w:name w:val="Standard Cont 9 Char"/>
    <w:basedOn w:val="DefaultParagraphFont"/>
    <w:link w:val="StandardCont9"/>
    <w:rPr>
      <w:rFonts w:ascii="Times New Roman" w:eastAsia="Times New Roman" w:hAnsi="Times New Roman" w:cs="Times New Roman"/>
    </w:rPr>
  </w:style>
  <w:style w:type="paragraph" w:customStyle="1" w:styleId="StandardL1">
    <w:name w:val="Standard_L1"/>
    <w:basedOn w:val="Normal"/>
    <w:next w:val="BodyText"/>
    <w:link w:val="StandardL1Char"/>
    <w:pPr>
      <w:spacing w:after="240"/>
      <w:jc w:val="both"/>
      <w:outlineLvl w:val="0"/>
    </w:pPr>
    <w:rPr>
      <w:rFonts w:eastAsia="Times New Roman" w:cs="Times New Roman"/>
      <w:szCs w:val="20"/>
    </w:rPr>
  </w:style>
  <w:style w:type="character" w:customStyle="1" w:styleId="StandardL1Char">
    <w:name w:val="Standard_L1 Char"/>
    <w:basedOn w:val="DefaultParagraphFont"/>
    <w:link w:val="StandardL1"/>
    <w:rPr>
      <w:rFonts w:ascii="Times New Roman" w:eastAsia="Times New Roman" w:hAnsi="Times New Roman" w:cs="Times New Roman"/>
      <w:szCs w:val="20"/>
    </w:rPr>
  </w:style>
  <w:style w:type="paragraph" w:customStyle="1" w:styleId="StandardL2">
    <w:name w:val="Standard_L2"/>
    <w:basedOn w:val="Normal"/>
    <w:next w:val="BodyText"/>
    <w:link w:val="StandardL2Char"/>
    <w:pPr>
      <w:spacing w:after="240"/>
      <w:jc w:val="both"/>
      <w:outlineLvl w:val="1"/>
    </w:pPr>
    <w:rPr>
      <w:rFonts w:eastAsia="Times New Roman" w:cs="Times New Roman"/>
    </w:rPr>
  </w:style>
  <w:style w:type="character" w:customStyle="1" w:styleId="StandardL2Char">
    <w:name w:val="Standard_L2 Char"/>
    <w:basedOn w:val="DefaultParagraphFont"/>
    <w:link w:val="StandardL2"/>
    <w:rPr>
      <w:rFonts w:ascii="Times New Roman" w:eastAsia="Times New Roman" w:hAnsi="Times New Roman" w:cs="Times New Roman"/>
    </w:rPr>
  </w:style>
  <w:style w:type="paragraph" w:customStyle="1" w:styleId="StandardL3">
    <w:name w:val="Standard_L3"/>
    <w:basedOn w:val="Normal"/>
    <w:next w:val="BodyText"/>
    <w:link w:val="StandardL3Char"/>
    <w:pPr>
      <w:spacing w:after="240"/>
      <w:jc w:val="both"/>
      <w:outlineLvl w:val="2"/>
    </w:pPr>
    <w:rPr>
      <w:rFonts w:eastAsia="Times New Roman" w:cs="Times New Roman"/>
    </w:rPr>
  </w:style>
  <w:style w:type="character" w:customStyle="1" w:styleId="StandardL3Char">
    <w:name w:val="Standard_L3 Char"/>
    <w:basedOn w:val="DefaultParagraphFont"/>
    <w:link w:val="StandardL3"/>
    <w:rPr>
      <w:rFonts w:ascii="Times New Roman" w:eastAsia="Times New Roman" w:hAnsi="Times New Roman" w:cs="Times New Roman"/>
    </w:rPr>
  </w:style>
  <w:style w:type="paragraph" w:customStyle="1" w:styleId="StandardL4">
    <w:name w:val="Standard_L4"/>
    <w:basedOn w:val="Normal"/>
    <w:next w:val="BodyText"/>
    <w:link w:val="StandardL4Char"/>
    <w:pPr>
      <w:spacing w:after="240"/>
      <w:jc w:val="both"/>
      <w:outlineLvl w:val="3"/>
    </w:pPr>
    <w:rPr>
      <w:rFonts w:eastAsia="Times New Roman" w:cs="Times New Roman"/>
    </w:rPr>
  </w:style>
  <w:style w:type="character" w:customStyle="1" w:styleId="StandardL4Char">
    <w:name w:val="Standard_L4 Char"/>
    <w:basedOn w:val="DefaultParagraphFont"/>
    <w:link w:val="StandardL4"/>
    <w:rPr>
      <w:rFonts w:ascii="Times New Roman" w:eastAsia="Times New Roman" w:hAnsi="Times New Roman" w:cs="Times New Roman"/>
    </w:rPr>
  </w:style>
  <w:style w:type="paragraph" w:customStyle="1" w:styleId="StandardL5">
    <w:name w:val="Standard_L5"/>
    <w:basedOn w:val="Normal"/>
    <w:next w:val="BodyText"/>
    <w:link w:val="StandardL5Char"/>
    <w:pPr>
      <w:spacing w:after="240"/>
      <w:jc w:val="both"/>
      <w:outlineLvl w:val="4"/>
    </w:pPr>
    <w:rPr>
      <w:rFonts w:eastAsia="Times New Roman" w:cs="Times New Roman"/>
    </w:rPr>
  </w:style>
  <w:style w:type="character" w:customStyle="1" w:styleId="StandardL5Char">
    <w:name w:val="Standard_L5 Char"/>
    <w:basedOn w:val="DefaultParagraphFont"/>
    <w:link w:val="StandardL5"/>
    <w:rPr>
      <w:rFonts w:ascii="Times New Roman" w:eastAsia="Times New Roman" w:hAnsi="Times New Roman" w:cs="Times New Roman"/>
    </w:rPr>
  </w:style>
  <w:style w:type="paragraph" w:customStyle="1" w:styleId="StandardL6">
    <w:name w:val="Standard_L6"/>
    <w:basedOn w:val="Normal"/>
    <w:next w:val="BodyText"/>
    <w:link w:val="StandardL6Char"/>
    <w:pPr>
      <w:spacing w:after="240"/>
      <w:jc w:val="both"/>
      <w:outlineLvl w:val="5"/>
    </w:pPr>
    <w:rPr>
      <w:rFonts w:eastAsia="Times New Roman" w:cs="Times New Roman"/>
    </w:rPr>
  </w:style>
  <w:style w:type="character" w:customStyle="1" w:styleId="StandardL6Char">
    <w:name w:val="Standard_L6 Char"/>
    <w:basedOn w:val="DefaultParagraphFont"/>
    <w:link w:val="StandardL6"/>
    <w:rPr>
      <w:rFonts w:ascii="Times New Roman" w:eastAsia="Times New Roman" w:hAnsi="Times New Roman" w:cs="Times New Roman"/>
    </w:rPr>
  </w:style>
  <w:style w:type="paragraph" w:customStyle="1" w:styleId="StandardL7">
    <w:name w:val="Standard_L7"/>
    <w:basedOn w:val="Normal"/>
    <w:next w:val="BodyText"/>
    <w:link w:val="StandardL7Char"/>
    <w:pPr>
      <w:spacing w:after="240"/>
      <w:jc w:val="both"/>
      <w:outlineLvl w:val="6"/>
    </w:pPr>
    <w:rPr>
      <w:rFonts w:eastAsia="Times New Roman" w:cs="Times New Roman"/>
    </w:rPr>
  </w:style>
  <w:style w:type="character" w:customStyle="1" w:styleId="StandardL7Char">
    <w:name w:val="Standard_L7 Char"/>
    <w:basedOn w:val="DefaultParagraphFont"/>
    <w:link w:val="StandardL7"/>
    <w:rPr>
      <w:rFonts w:ascii="Times New Roman" w:eastAsia="Times New Roman" w:hAnsi="Times New Roman" w:cs="Times New Roman"/>
    </w:rPr>
  </w:style>
  <w:style w:type="paragraph" w:customStyle="1" w:styleId="StandardL8">
    <w:name w:val="Standard_L8"/>
    <w:basedOn w:val="Normal"/>
    <w:next w:val="BodyText"/>
    <w:link w:val="StandardL8Char"/>
    <w:pPr>
      <w:spacing w:after="240"/>
      <w:jc w:val="both"/>
      <w:outlineLvl w:val="7"/>
    </w:pPr>
    <w:rPr>
      <w:rFonts w:eastAsia="Times New Roman" w:cs="Times New Roman"/>
    </w:rPr>
  </w:style>
  <w:style w:type="character" w:customStyle="1" w:styleId="StandardL8Char">
    <w:name w:val="Standard_L8 Char"/>
    <w:basedOn w:val="DefaultParagraphFont"/>
    <w:link w:val="StandardL8"/>
    <w:rPr>
      <w:rFonts w:ascii="Times New Roman" w:eastAsia="Times New Roman" w:hAnsi="Times New Roman" w:cs="Times New Roman"/>
    </w:rPr>
  </w:style>
  <w:style w:type="paragraph" w:customStyle="1" w:styleId="StandardL9">
    <w:name w:val="Standard_L9"/>
    <w:basedOn w:val="Normal"/>
    <w:next w:val="BodyText"/>
    <w:link w:val="StandardL9Char"/>
    <w:pPr>
      <w:spacing w:after="240"/>
      <w:jc w:val="both"/>
      <w:outlineLvl w:val="8"/>
    </w:pPr>
    <w:rPr>
      <w:rFonts w:eastAsia="Times New Roman" w:cs="Times New Roman"/>
    </w:rPr>
  </w:style>
  <w:style w:type="character" w:customStyle="1" w:styleId="StandardL9Char">
    <w:name w:val="Standard_L9 Char"/>
    <w:basedOn w:val="DefaultParagraphFont"/>
    <w:link w:val="StandardL9"/>
    <w:rPr>
      <w:rFonts w:ascii="Times New Roman" w:eastAsia="Times New Roman" w:hAnsi="Times New Roman" w:cs="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RFUS\Office\Templates\Normal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69A2-C8C4-48C2-954C-197EFEBC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NormalLtr</Template>
  <TotalTime>0</TotalTime>
  <Pages>3</Pages>
  <Words>2772</Words>
  <Characters>15807</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Norton Rose Fulbright</vt:lpstr>
    </vt:vector>
  </TitlesOfParts>
  <Company>Norton Rose Fulbright</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Norton Rose Fulbright</dc:title>
  <dc:creator>Norton Rose Fulbright</dc:creator>
  <cp:lastModifiedBy>Tito, Bradford J (NYSERDA)</cp:lastModifiedBy>
  <cp:revision>2</cp:revision>
  <dcterms:created xsi:type="dcterms:W3CDTF">2019-04-17T13:36:00Z</dcterms:created>
  <dcterms:modified xsi:type="dcterms:W3CDTF">2019-04-17T13:36:00Z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
    <vt:lpwstr>73909695.24</vt:lpwstr>
  </property>
  <property fmtid="{D5CDD505-2E9C-101B-9397-08002B2CF9AE}" pid="3" name="xD">
    <vt:lpwstr>1001056597</vt:lpwstr>
  </property>
</Properties>
</file>