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BFFB" w14:textId="77777777" w:rsidR="00032816" w:rsidRPr="00DD6134" w:rsidRDefault="00032816" w:rsidP="00032816">
      <w:pPr>
        <w:jc w:val="center"/>
        <w:rPr>
          <w:rFonts w:ascii="Bradley Hand ITC" w:hAnsi="Bradley Hand ITC" w:cs="Times New Roman"/>
          <w:b/>
          <w:bCs/>
          <w:sz w:val="28"/>
          <w:szCs w:val="28"/>
        </w:rPr>
      </w:pPr>
      <w:r w:rsidRPr="00DD6134">
        <w:rPr>
          <w:rFonts w:ascii="Bradley Hand ITC" w:hAnsi="Bradley Hand ITC" w:cs="Times New Roman"/>
          <w:b/>
          <w:bCs/>
          <w:sz w:val="28"/>
          <w:szCs w:val="28"/>
        </w:rPr>
        <w:t>Sustainable Bethel</w:t>
      </w:r>
    </w:p>
    <w:p w14:paraId="1177C99E" w14:textId="77777777" w:rsidR="00032816" w:rsidRPr="00DD6134" w:rsidRDefault="00032816" w:rsidP="00032816">
      <w:pPr>
        <w:jc w:val="center"/>
        <w:rPr>
          <w:rFonts w:ascii="Bradley Hand ITC" w:hAnsi="Bradley Hand ITC" w:cs="Times New Roman"/>
          <w:b/>
          <w:bCs/>
          <w:sz w:val="28"/>
          <w:szCs w:val="28"/>
        </w:rPr>
      </w:pPr>
      <w:r>
        <w:rPr>
          <w:rFonts w:ascii="Bradley Hand ITC" w:hAnsi="Bradley Hand ITC" w:cs="Times New Roman"/>
          <w:b/>
          <w:bCs/>
          <w:sz w:val="28"/>
          <w:szCs w:val="28"/>
        </w:rPr>
        <w:t xml:space="preserve">c/o </w:t>
      </w:r>
      <w:r w:rsidRPr="00DD6134">
        <w:rPr>
          <w:rFonts w:ascii="Bradley Hand ITC" w:hAnsi="Bradley Hand ITC" w:cs="Times New Roman"/>
          <w:b/>
          <w:bCs/>
          <w:sz w:val="28"/>
          <w:szCs w:val="28"/>
        </w:rPr>
        <w:t xml:space="preserve">3454 State </w:t>
      </w:r>
      <w:proofErr w:type="spellStart"/>
      <w:r w:rsidRPr="00DD6134">
        <w:rPr>
          <w:rFonts w:ascii="Bradley Hand ITC" w:hAnsi="Bradley Hand ITC" w:cs="Times New Roman"/>
          <w:b/>
          <w:bCs/>
          <w:sz w:val="28"/>
          <w:szCs w:val="28"/>
        </w:rPr>
        <w:t>Rte</w:t>
      </w:r>
      <w:proofErr w:type="spellEnd"/>
      <w:r w:rsidRPr="00DD6134">
        <w:rPr>
          <w:rFonts w:ascii="Bradley Hand ITC" w:hAnsi="Bradley Hand ITC" w:cs="Times New Roman"/>
          <w:b/>
          <w:bCs/>
          <w:sz w:val="28"/>
          <w:szCs w:val="28"/>
        </w:rPr>
        <w:t xml:space="preserve"> 55</w:t>
      </w:r>
    </w:p>
    <w:p w14:paraId="3B7E662D" w14:textId="77777777" w:rsidR="00032816" w:rsidRPr="00DD6134" w:rsidRDefault="00032816" w:rsidP="00032816">
      <w:pPr>
        <w:jc w:val="center"/>
        <w:rPr>
          <w:rFonts w:ascii="Bradley Hand ITC" w:hAnsi="Bradley Hand ITC" w:cs="Times New Roman"/>
          <w:b/>
          <w:bCs/>
          <w:sz w:val="28"/>
          <w:szCs w:val="28"/>
        </w:rPr>
      </w:pPr>
      <w:r w:rsidRPr="00DD6134">
        <w:rPr>
          <w:rFonts w:ascii="Bradley Hand ITC" w:hAnsi="Bradley Hand ITC" w:cs="Times New Roman"/>
          <w:b/>
          <w:bCs/>
          <w:sz w:val="28"/>
          <w:szCs w:val="28"/>
        </w:rPr>
        <w:t>White Lake, NY  12786</w:t>
      </w:r>
    </w:p>
    <w:p w14:paraId="682CCDC4" w14:textId="77777777" w:rsidR="00032816" w:rsidRDefault="00032816" w:rsidP="00B53B0B">
      <w:pPr>
        <w:rPr>
          <w:rFonts w:ascii="Times New Roman" w:hAnsi="Times New Roman" w:cs="Times New Roman"/>
          <w:sz w:val="24"/>
          <w:szCs w:val="24"/>
        </w:rPr>
      </w:pPr>
    </w:p>
    <w:p w14:paraId="50E08C85" w14:textId="24C9AE34" w:rsidR="00B53B0B" w:rsidRPr="00B42AD2" w:rsidRDefault="00B53B0B" w:rsidP="00B53B0B">
      <w:pPr>
        <w:rPr>
          <w:rFonts w:ascii="Times New Roman" w:hAnsi="Times New Roman" w:cs="Times New Roman"/>
          <w:sz w:val="24"/>
          <w:szCs w:val="24"/>
        </w:rPr>
      </w:pPr>
      <w:r>
        <w:rPr>
          <w:rFonts w:ascii="Times New Roman" w:hAnsi="Times New Roman" w:cs="Times New Roman"/>
          <w:sz w:val="24"/>
          <w:szCs w:val="24"/>
        </w:rPr>
        <w:t>On behalf of Sustainable Bethel, t</w:t>
      </w:r>
      <w:r w:rsidRPr="00B42AD2">
        <w:rPr>
          <w:rFonts w:ascii="Times New Roman" w:hAnsi="Times New Roman" w:cs="Times New Roman"/>
          <w:sz w:val="24"/>
          <w:szCs w:val="24"/>
        </w:rPr>
        <w:t xml:space="preserve">hank you for this opportunity to provide comments on the NYS Draft Scoping Plan.  </w:t>
      </w:r>
      <w:r w:rsidRPr="00B42AD2">
        <w:rPr>
          <w:rFonts w:ascii="Times New Roman" w:eastAsia="Times New Roman" w:hAnsi="Times New Roman" w:cs="Times New Roman"/>
          <w:color w:val="222222"/>
          <w:sz w:val="24"/>
          <w:szCs w:val="24"/>
        </w:rPr>
        <w:t xml:space="preserve">This report is stunning in its ambition and scope. It is a detailed roadmap for navigating the global climate crisis and demonstrates New York’s commitment to leadership on this issue. It lays out in stark detail exactly what we are facing and how aggressively transitioning to a lower emissions economy will benefit all New Yorkers. Of particular importance is the focus on social justice, pledging as it does to ensure allocation of at least 35%, and preferably 40%, of clean energy and efficiency funding to assist marginalized people who are the most affected by this crisis.  </w:t>
      </w:r>
      <w:r>
        <w:rPr>
          <w:rFonts w:ascii="Times New Roman" w:eastAsia="Times New Roman" w:hAnsi="Times New Roman" w:cs="Times New Roman"/>
          <w:color w:val="222222"/>
          <w:sz w:val="24"/>
          <w:szCs w:val="24"/>
        </w:rPr>
        <w:t>W</w:t>
      </w:r>
      <w:r w:rsidRPr="00B42AD2">
        <w:rPr>
          <w:rFonts w:ascii="Times New Roman" w:hAnsi="Times New Roman" w:cs="Times New Roman"/>
          <w:sz w:val="24"/>
          <w:szCs w:val="24"/>
        </w:rPr>
        <w:t>e strongly support the Draft Scoping Plan and applaud the time, effort, ambition and vision of the various working groups which contributed to it so as to achieve the goals of New York State’s ambitious Climate Leadership and Community Protection Act</w:t>
      </w:r>
      <w:r>
        <w:rPr>
          <w:rFonts w:ascii="Times New Roman" w:hAnsi="Times New Roman" w:cs="Times New Roman"/>
          <w:sz w:val="24"/>
          <w:szCs w:val="24"/>
        </w:rPr>
        <w:t xml:space="preserve"> (“CLCPA”)</w:t>
      </w:r>
      <w:r w:rsidRPr="00B42AD2">
        <w:rPr>
          <w:rFonts w:ascii="Times New Roman" w:hAnsi="Times New Roman" w:cs="Times New Roman"/>
          <w:sz w:val="24"/>
          <w:szCs w:val="24"/>
        </w:rPr>
        <w:t>.</w:t>
      </w:r>
    </w:p>
    <w:p w14:paraId="517BB8D6" w14:textId="77777777" w:rsidR="00B53B0B" w:rsidRDefault="00B53B0B" w:rsidP="00B53B0B">
      <w:pPr>
        <w:rPr>
          <w:rFonts w:ascii="Times New Roman" w:hAnsi="Times New Roman" w:cs="Times New Roman"/>
          <w:sz w:val="24"/>
          <w:szCs w:val="24"/>
        </w:rPr>
      </w:pPr>
      <w:r>
        <w:rPr>
          <w:rFonts w:ascii="Times New Roman" w:hAnsi="Times New Roman" w:cs="Times New Roman"/>
          <w:sz w:val="24"/>
          <w:szCs w:val="24"/>
        </w:rPr>
        <w:t xml:space="preserve">Sustainable Bethel is </w:t>
      </w:r>
      <w:r w:rsidRPr="00B42AD2">
        <w:rPr>
          <w:rFonts w:ascii="Times New Roman" w:hAnsi="Times New Roman" w:cs="Times New Roman"/>
          <w:sz w:val="24"/>
          <w:szCs w:val="24"/>
        </w:rPr>
        <w:t xml:space="preserve">the advisory sustainability committee of the Town of Bethel in Sullivan County. The Committee, comprised of Town Board members and community volunteers, has been working since 2013 to promote and support environmental sustainability measures.   </w:t>
      </w:r>
      <w:r>
        <w:rPr>
          <w:rFonts w:ascii="Times New Roman" w:hAnsi="Times New Roman" w:cs="Times New Roman"/>
          <w:sz w:val="24"/>
          <w:szCs w:val="24"/>
        </w:rPr>
        <w:t>Our</w:t>
      </w:r>
      <w:r w:rsidRPr="00B42AD2">
        <w:rPr>
          <w:rFonts w:ascii="Times New Roman" w:hAnsi="Times New Roman" w:cs="Times New Roman"/>
          <w:sz w:val="24"/>
          <w:szCs w:val="24"/>
        </w:rPr>
        <w:t xml:space="preserve"> Town was recognized as a Bronze-certified Climate Smart Community in 2018 and </w:t>
      </w:r>
      <w:r>
        <w:rPr>
          <w:rFonts w:ascii="Times New Roman" w:hAnsi="Times New Roman" w:cs="Times New Roman"/>
          <w:sz w:val="24"/>
          <w:szCs w:val="24"/>
        </w:rPr>
        <w:t xml:space="preserve">is </w:t>
      </w:r>
      <w:r w:rsidRPr="00B42AD2">
        <w:rPr>
          <w:rFonts w:ascii="Times New Roman" w:hAnsi="Times New Roman" w:cs="Times New Roman"/>
          <w:sz w:val="24"/>
          <w:szCs w:val="24"/>
        </w:rPr>
        <w:t xml:space="preserve">a </w:t>
      </w:r>
      <w:r>
        <w:rPr>
          <w:rFonts w:ascii="Times New Roman" w:hAnsi="Times New Roman" w:cs="Times New Roman"/>
          <w:sz w:val="24"/>
          <w:szCs w:val="24"/>
        </w:rPr>
        <w:t>designated</w:t>
      </w:r>
      <w:r w:rsidRPr="00B42AD2">
        <w:rPr>
          <w:rFonts w:ascii="Times New Roman" w:hAnsi="Times New Roman" w:cs="Times New Roman"/>
          <w:sz w:val="24"/>
          <w:szCs w:val="24"/>
        </w:rPr>
        <w:t xml:space="preserve"> Mid-Hudson NYSERDA Clean Energy Community. </w:t>
      </w:r>
      <w:r>
        <w:rPr>
          <w:rFonts w:ascii="Times New Roman" w:hAnsi="Times New Roman" w:cs="Times New Roman"/>
          <w:sz w:val="24"/>
          <w:szCs w:val="24"/>
        </w:rPr>
        <w:t xml:space="preserve">Bethel </w:t>
      </w:r>
      <w:r w:rsidRPr="00B42AD2">
        <w:rPr>
          <w:rFonts w:ascii="Times New Roman" w:hAnsi="Times New Roman" w:cs="Times New Roman"/>
          <w:sz w:val="24"/>
          <w:szCs w:val="24"/>
        </w:rPr>
        <w:t xml:space="preserve">has approximately 4000 residents and its small municipal staff </w:t>
      </w:r>
      <w:r>
        <w:rPr>
          <w:rFonts w:ascii="Times New Roman" w:hAnsi="Times New Roman" w:cs="Times New Roman"/>
          <w:sz w:val="24"/>
          <w:szCs w:val="24"/>
        </w:rPr>
        <w:t xml:space="preserve">totaling 21 </w:t>
      </w:r>
      <w:r w:rsidRPr="00B42AD2">
        <w:rPr>
          <w:rFonts w:ascii="Times New Roman" w:hAnsi="Times New Roman" w:cs="Times New Roman"/>
          <w:sz w:val="24"/>
          <w:szCs w:val="24"/>
        </w:rPr>
        <w:t xml:space="preserve">means that it has no “office of sustainability” or dedicated sustainability personnel. </w:t>
      </w:r>
      <w:r>
        <w:rPr>
          <w:rFonts w:ascii="Times New Roman" w:hAnsi="Times New Roman" w:cs="Times New Roman"/>
          <w:sz w:val="24"/>
          <w:szCs w:val="24"/>
        </w:rPr>
        <w:t>O</w:t>
      </w:r>
      <w:r w:rsidRPr="00B42AD2">
        <w:rPr>
          <w:rFonts w:ascii="Times New Roman" w:hAnsi="Times New Roman" w:cs="Times New Roman"/>
          <w:sz w:val="24"/>
          <w:szCs w:val="24"/>
        </w:rPr>
        <w:t>ften, the State’s sustainability programs overlook issues that particularly impact small rural municipalities. As such, we urge and recommend, generally, that the Draft Scoping Plan recognize the differences in needs-- and needed solutions --among rural, suburban and urban communities and, wherever possible, specify approaches that may be targeted to the State’s hundreds of smaller, rural municipalities.</w:t>
      </w:r>
      <w:r>
        <w:rPr>
          <w:rFonts w:ascii="Times New Roman" w:hAnsi="Times New Roman" w:cs="Times New Roman"/>
          <w:sz w:val="24"/>
          <w:szCs w:val="24"/>
        </w:rPr>
        <w:t xml:space="preserve"> For the Town of Bethel</w:t>
      </w:r>
      <w:r w:rsidRPr="00B42AD2">
        <w:rPr>
          <w:rFonts w:ascii="Times New Roman" w:hAnsi="Times New Roman" w:cs="Times New Roman"/>
          <w:sz w:val="24"/>
          <w:szCs w:val="24"/>
        </w:rPr>
        <w:t>, the “will” is there but the implementation of sustainability initiatives continues to be dependent on the</w:t>
      </w:r>
      <w:r>
        <w:rPr>
          <w:rFonts w:ascii="Times New Roman" w:hAnsi="Times New Roman" w:cs="Times New Roman"/>
          <w:sz w:val="24"/>
          <w:szCs w:val="24"/>
        </w:rPr>
        <w:t xml:space="preserve"> </w:t>
      </w:r>
      <w:r w:rsidRPr="00B42AD2">
        <w:rPr>
          <w:rFonts w:ascii="Times New Roman" w:hAnsi="Times New Roman" w:cs="Times New Roman"/>
          <w:sz w:val="24"/>
          <w:szCs w:val="24"/>
        </w:rPr>
        <w:t>availability of State funding and technical support.</w:t>
      </w:r>
    </w:p>
    <w:p w14:paraId="126EC083" w14:textId="3FB182BB" w:rsidR="00B53B0B" w:rsidRDefault="00B53B0B" w:rsidP="00B53B0B">
      <w:pPr>
        <w:rPr>
          <w:rFonts w:ascii="Times New Roman" w:hAnsi="Times New Roman" w:cs="Times New Roman"/>
          <w:sz w:val="24"/>
          <w:szCs w:val="24"/>
        </w:rPr>
      </w:pPr>
      <w:r>
        <w:rPr>
          <w:rFonts w:ascii="Times New Roman" w:hAnsi="Times New Roman" w:cs="Times New Roman"/>
          <w:sz w:val="24"/>
          <w:szCs w:val="24"/>
        </w:rPr>
        <w:t xml:space="preserve">Below are our comments on specific strategy proposals in the </w:t>
      </w:r>
      <w:r w:rsidRPr="00B53B0B">
        <w:rPr>
          <w:rFonts w:ascii="Times New Roman" w:hAnsi="Times New Roman" w:cs="Times New Roman"/>
          <w:b/>
          <w:bCs/>
          <w:sz w:val="24"/>
          <w:szCs w:val="24"/>
          <w:u w:val="single"/>
        </w:rPr>
        <w:t xml:space="preserve">Agricultural and Forestry </w:t>
      </w:r>
      <w:r>
        <w:rPr>
          <w:rFonts w:ascii="Times New Roman" w:hAnsi="Times New Roman" w:cs="Times New Roman"/>
          <w:sz w:val="24"/>
          <w:szCs w:val="24"/>
        </w:rPr>
        <w:t xml:space="preserve">Chapter of the </w:t>
      </w:r>
      <w:r>
        <w:rPr>
          <w:rFonts w:ascii="Times New Roman" w:hAnsi="Times New Roman" w:cs="Times New Roman"/>
          <w:sz w:val="24"/>
          <w:szCs w:val="24"/>
        </w:rPr>
        <w:t>Draft Scoping Plan:</w:t>
      </w:r>
    </w:p>
    <w:p w14:paraId="7B589994"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r w:rsidRPr="00B42AD2">
        <w:rPr>
          <w:rFonts w:ascii="Times New Roman" w:eastAsia="Times New Roman" w:hAnsi="Times New Roman" w:cs="Times New Roman"/>
          <w:color w:val="222222"/>
          <w:sz w:val="24"/>
          <w:szCs w:val="24"/>
        </w:rPr>
        <w:t> </w:t>
      </w:r>
    </w:p>
    <w:p w14:paraId="1108CBF6"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r w:rsidRPr="00B42AD2">
        <w:rPr>
          <w:rFonts w:ascii="Times New Roman" w:eastAsia="Times New Roman" w:hAnsi="Times New Roman" w:cs="Times New Roman"/>
          <w:color w:val="222222"/>
          <w:sz w:val="24"/>
          <w:szCs w:val="24"/>
        </w:rPr>
        <w:t>“Manure storages have caused the single highest increase in agricultural emissions from the 1990 baseline year to today.” Page 209</w:t>
      </w:r>
    </w:p>
    <w:p w14:paraId="19856653"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p>
    <w:p w14:paraId="2DB33C58"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r w:rsidRPr="00B42AD2">
        <w:rPr>
          <w:rFonts w:ascii="Times New Roman" w:eastAsia="Times New Roman" w:hAnsi="Times New Roman" w:cs="Times New Roman"/>
          <w:color w:val="222222"/>
          <w:sz w:val="24"/>
          <w:szCs w:val="24"/>
        </w:rPr>
        <w:t>Comment: Appropriate zoning laws could address this. A farm should not have more animals than the land can support, period. CAFOs and mega dairies, while not the huge problem in NY as they are in other states, should be prohibited. This would eliminate the manure storage problem.</w:t>
      </w:r>
    </w:p>
    <w:p w14:paraId="501ECCAA"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r w:rsidRPr="00B42AD2">
        <w:rPr>
          <w:rFonts w:ascii="Times New Roman" w:eastAsia="Times New Roman" w:hAnsi="Times New Roman" w:cs="Times New Roman"/>
          <w:color w:val="222222"/>
          <w:sz w:val="24"/>
          <w:szCs w:val="24"/>
        </w:rPr>
        <w:t>Zoning imposes occupancy limits for people to protect public health. We should have similar standards for livestock and poultry. Particularly since our farm animals have been selectively bred for genetic uniformity, they are extremely vulnerable to pandemics, such as the current bird flu. Diversity of crop and animal species should be encouraged and carbon neutral sized operations should be required.</w:t>
      </w:r>
    </w:p>
    <w:p w14:paraId="489E87A6"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p>
    <w:p w14:paraId="04C6C8BF"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r w:rsidRPr="00B42AD2">
        <w:rPr>
          <w:rFonts w:ascii="Times New Roman" w:eastAsia="Times New Roman" w:hAnsi="Times New Roman" w:cs="Times New Roman"/>
          <w:color w:val="222222"/>
          <w:sz w:val="24"/>
          <w:szCs w:val="24"/>
        </w:rPr>
        <w:t>“Methane is produced as part of normal digestive process in animals, especially ruminants. During digestion, microbes present in the animal’s digestive system ferment feed consumed by the animal. This microbial fermentation process, referred to as enteric fermentation, produces methane as a biproduct, which can be exhaled or eructed by the animal. Although methane from feed digestion represents the highest percentage of agricultural emissions, dairy and other livestock farms have improved feed efficiency, reducing methane emissions per unit of milk and other products since the 1990 baseline.” Page 211</w:t>
      </w:r>
    </w:p>
    <w:p w14:paraId="590FE7E8"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p>
    <w:p w14:paraId="524082AD"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r w:rsidRPr="00B42AD2">
        <w:rPr>
          <w:rFonts w:ascii="Times New Roman" w:eastAsia="Times New Roman" w:hAnsi="Times New Roman" w:cs="Times New Roman"/>
          <w:color w:val="222222"/>
          <w:sz w:val="24"/>
          <w:szCs w:val="24"/>
        </w:rPr>
        <w:t>Comment: The root of the problem here is feeding grains to ruminants. The science is clear: cows are healthier when they are grass fed, and they produce far less “enteric emissions”. Grass fed beef and dairy products are significantly healthier for people and for the environment. This is a no brainer. We need to feed our cows grass. Social justice is commendably a high priority of this report and we would suggest expanding that mandate to include our farm animals, particularly since elevating their welfare would also secure public health and climate resiliency benefits.</w:t>
      </w:r>
    </w:p>
    <w:p w14:paraId="0FE2070F"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p>
    <w:p w14:paraId="6D35869D"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r w:rsidRPr="00B42AD2">
        <w:rPr>
          <w:rFonts w:ascii="Times New Roman" w:eastAsia="Times New Roman" w:hAnsi="Times New Roman" w:cs="Times New Roman"/>
          <w:color w:val="222222"/>
          <w:sz w:val="24"/>
          <w:szCs w:val="24"/>
        </w:rPr>
        <w:t>To increase sustainability, climate resilience and genetic diversity, small family farms should be incentivized and encouraged, with a focus on carbon sequestration production methods and small holdings of genetically diverse heritage breed livestock. We also need to invest in processing infrastructure to support small farms. Milk should not be shipped in tankers to faraway plants for bottling.  Local farmers should not need to transport animals more than two hours away for processing. This is a huge obstacle for small farmers and must be addressed. To the extent possible, we should not import agricultural products that can be produced in NY. Policy should incentivize keeping food networks local, reducing transportation and refrigeration costs and emissions.</w:t>
      </w:r>
    </w:p>
    <w:p w14:paraId="397A2FC5"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p>
    <w:p w14:paraId="1F87606D"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r w:rsidRPr="00B42AD2">
        <w:rPr>
          <w:rFonts w:ascii="Times New Roman" w:eastAsia="Times New Roman" w:hAnsi="Times New Roman" w:cs="Times New Roman"/>
          <w:color w:val="222222"/>
          <w:sz w:val="24"/>
          <w:szCs w:val="24"/>
        </w:rPr>
        <w:t>“To reduce methane and nitrous oxide emissions while achieving desired ruminant growth and lactation goals, this strategy requires the evaluation of new processes, technologies, costs, and returns; demands sustained adaptive management by farmers and advisors, flattening the learning curve by farmers, advisors, and the feed industry; filling gaps in applied research; overcoming weather and market disruptions that can lower performance (producing lower quality forage). This strategy acknowledges that additional methane emission reduction may be realized from feed additives developed in the future and supports research to evaluate their potential.” Page 212.</w:t>
      </w:r>
    </w:p>
    <w:p w14:paraId="278AF07E"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p>
    <w:p w14:paraId="1838E2C6"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r w:rsidRPr="00B42AD2">
        <w:rPr>
          <w:rFonts w:ascii="Times New Roman" w:eastAsia="Times New Roman" w:hAnsi="Times New Roman" w:cs="Times New Roman"/>
          <w:color w:val="222222"/>
          <w:sz w:val="24"/>
          <w:szCs w:val="24"/>
        </w:rPr>
        <w:t>Comment: This statement is on the right track but again, we needn’t reinvent the wheel.  Cows evolved to eat grass. They did not produce large amounts of methane until we started feeding them corn.</w:t>
      </w:r>
    </w:p>
    <w:p w14:paraId="596086F7"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r w:rsidRPr="00B42AD2">
        <w:rPr>
          <w:rFonts w:ascii="Times New Roman" w:eastAsia="Times New Roman" w:hAnsi="Times New Roman" w:cs="Times New Roman"/>
          <w:color w:val="222222"/>
          <w:sz w:val="24"/>
          <w:szCs w:val="24"/>
        </w:rPr>
        <w:t xml:space="preserve">“Increase perennial plant systems: AGM and SWCC should support converting annual cropland to perennial hay land/pasture and where appropriate (such as steep slopes and highly erodible lands). This is a current effort supported through the State’s </w:t>
      </w:r>
      <w:proofErr w:type="spellStart"/>
      <w:r w:rsidRPr="00B42AD2">
        <w:rPr>
          <w:rFonts w:ascii="Times New Roman" w:eastAsia="Times New Roman" w:hAnsi="Times New Roman" w:cs="Times New Roman"/>
          <w:color w:val="222222"/>
          <w:sz w:val="24"/>
          <w:szCs w:val="24"/>
        </w:rPr>
        <w:t>AgNPS</w:t>
      </w:r>
      <w:proofErr w:type="spellEnd"/>
      <w:r w:rsidRPr="00B42AD2">
        <w:rPr>
          <w:rFonts w:ascii="Times New Roman" w:eastAsia="Times New Roman" w:hAnsi="Times New Roman" w:cs="Times New Roman"/>
          <w:color w:val="222222"/>
          <w:sz w:val="24"/>
          <w:szCs w:val="24"/>
        </w:rPr>
        <w:t xml:space="preserve"> and CRF programs.” Page 217</w:t>
      </w:r>
    </w:p>
    <w:p w14:paraId="6726A50B"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p>
    <w:p w14:paraId="509685BD"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r w:rsidRPr="00B42AD2">
        <w:rPr>
          <w:rFonts w:ascii="Times New Roman" w:eastAsia="Times New Roman" w:hAnsi="Times New Roman" w:cs="Times New Roman"/>
          <w:color w:val="222222"/>
          <w:sz w:val="24"/>
          <w:szCs w:val="24"/>
        </w:rPr>
        <w:t>Comment: This is an excellent idea and should be pursued over research into other possible feedstuffs for cattle. Grass is clearly the optimum choice.</w:t>
      </w:r>
    </w:p>
    <w:p w14:paraId="39958F55" w14:textId="77777777" w:rsidR="00B53B0B" w:rsidRPr="00E94EB8" w:rsidRDefault="00B53B0B" w:rsidP="00B53B0B">
      <w:pPr>
        <w:spacing w:after="0" w:line="240" w:lineRule="auto"/>
        <w:rPr>
          <w:rFonts w:ascii="Times New Roman" w:eastAsia="Times New Roman" w:hAnsi="Times New Roman" w:cs="Times New Roman"/>
          <w:color w:val="222222"/>
          <w:sz w:val="24"/>
          <w:szCs w:val="24"/>
        </w:rPr>
      </w:pPr>
      <w:r w:rsidRPr="00B42AD2">
        <w:rPr>
          <w:rFonts w:ascii="Times New Roman" w:eastAsia="Times New Roman" w:hAnsi="Times New Roman" w:cs="Times New Roman"/>
          <w:color w:val="222222"/>
          <w:sz w:val="24"/>
          <w:szCs w:val="24"/>
        </w:rPr>
        <w:t> </w:t>
      </w:r>
    </w:p>
    <w:p w14:paraId="39A88A65"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r w:rsidRPr="00B42AD2">
        <w:rPr>
          <w:rFonts w:ascii="Times New Roman" w:eastAsia="Times New Roman" w:hAnsi="Times New Roman" w:cs="Times New Roman"/>
          <w:color w:val="222222"/>
          <w:sz w:val="24"/>
          <w:szCs w:val="24"/>
        </w:rPr>
        <w:t> </w:t>
      </w:r>
    </w:p>
    <w:p w14:paraId="11D2085B"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r w:rsidRPr="00B42AD2">
        <w:rPr>
          <w:rFonts w:ascii="Times New Roman" w:eastAsia="Times New Roman" w:hAnsi="Times New Roman" w:cs="Times New Roman"/>
          <w:color w:val="222222"/>
          <w:sz w:val="24"/>
          <w:szCs w:val="24"/>
        </w:rPr>
        <w:t>“Of New York’s forests 73%, or 13.7 million acres, are owned by private landowners.” Page 203</w:t>
      </w:r>
    </w:p>
    <w:p w14:paraId="41973F5C"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p>
    <w:p w14:paraId="62667E04"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r w:rsidRPr="00B42AD2">
        <w:rPr>
          <w:rFonts w:ascii="Times New Roman" w:eastAsia="Times New Roman" w:hAnsi="Times New Roman" w:cs="Times New Roman"/>
          <w:color w:val="222222"/>
          <w:sz w:val="24"/>
          <w:szCs w:val="24"/>
        </w:rPr>
        <w:t xml:space="preserve">Comment: Why not also incentivize forestry conservation for landowners &lt;15 acres? Given the large proportion of privately held forests, it seems imperative to include as many landowners as possible. There should be a way for small forest owners to connect with others to create larger blocks of stewarded lands, and a mechanism to assist them with expertise on responsible management. (See also the related comment on providing a </w:t>
      </w:r>
      <w:r>
        <w:rPr>
          <w:rFonts w:ascii="Times New Roman" w:eastAsia="Times New Roman" w:hAnsi="Times New Roman" w:cs="Times New Roman"/>
          <w:color w:val="222222"/>
          <w:sz w:val="24"/>
          <w:szCs w:val="24"/>
        </w:rPr>
        <w:t>“</w:t>
      </w:r>
      <w:r w:rsidRPr="00B42AD2">
        <w:rPr>
          <w:rFonts w:ascii="Times New Roman" w:eastAsia="Times New Roman" w:hAnsi="Times New Roman" w:cs="Times New Roman"/>
          <w:color w:val="222222"/>
          <w:sz w:val="24"/>
          <w:szCs w:val="24"/>
        </w:rPr>
        <w:t>fir</w:t>
      </w:r>
      <w:r>
        <w:rPr>
          <w:rFonts w:ascii="Times New Roman" w:eastAsia="Times New Roman" w:hAnsi="Times New Roman" w:cs="Times New Roman"/>
          <w:color w:val="222222"/>
          <w:sz w:val="24"/>
          <w:szCs w:val="24"/>
        </w:rPr>
        <w:t>s</w:t>
      </w:r>
      <w:r w:rsidRPr="00B42AD2">
        <w:rPr>
          <w:rFonts w:ascii="Times New Roman" w:eastAsia="Times New Roman" w:hAnsi="Times New Roman" w:cs="Times New Roman"/>
          <w:color w:val="222222"/>
          <w:sz w:val="24"/>
          <w:szCs w:val="24"/>
        </w:rPr>
        <w:t>t right of refusal</w:t>
      </w:r>
      <w:r>
        <w:rPr>
          <w:rFonts w:ascii="Times New Roman" w:eastAsia="Times New Roman" w:hAnsi="Times New Roman" w:cs="Times New Roman"/>
          <w:color w:val="222222"/>
          <w:sz w:val="24"/>
          <w:szCs w:val="24"/>
        </w:rPr>
        <w:t>”</w:t>
      </w:r>
      <w:r w:rsidRPr="00B42AD2">
        <w:rPr>
          <w:rFonts w:ascii="Times New Roman" w:eastAsia="Times New Roman" w:hAnsi="Times New Roman" w:cs="Times New Roman"/>
          <w:color w:val="222222"/>
          <w:sz w:val="24"/>
          <w:szCs w:val="24"/>
        </w:rPr>
        <w:t xml:space="preserve"> to local governments regarding the sale of privately owned forests within their municipalities.)</w:t>
      </w:r>
    </w:p>
    <w:p w14:paraId="10FD583E"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r w:rsidRPr="00B42AD2">
        <w:rPr>
          <w:rFonts w:ascii="Times New Roman" w:eastAsia="Times New Roman" w:hAnsi="Times New Roman" w:cs="Times New Roman"/>
          <w:color w:val="222222"/>
          <w:sz w:val="24"/>
          <w:szCs w:val="24"/>
        </w:rPr>
        <w:t> </w:t>
      </w:r>
    </w:p>
    <w:p w14:paraId="622EEE81"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r w:rsidRPr="00B42AD2">
        <w:rPr>
          <w:rFonts w:ascii="Times New Roman" w:eastAsia="Times New Roman" w:hAnsi="Times New Roman" w:cs="Times New Roman"/>
          <w:color w:val="222222"/>
          <w:sz w:val="24"/>
          <w:szCs w:val="24"/>
        </w:rPr>
        <w:t>“WPDC should develop and support workforce development and training programs for the forest sector, including incorporating forest carbon management into curriculums at the high school (such as the Boards of Cooperative Education Services) and college level and supporting existing training apprenticeship programs for careers in forestry and the forest product supply chain.” Page 225</w:t>
      </w:r>
    </w:p>
    <w:p w14:paraId="3D80BC9B" w14:textId="77777777" w:rsidR="00B53B0B" w:rsidRPr="00B42AD2" w:rsidRDefault="00B53B0B" w:rsidP="00B53B0B">
      <w:pPr>
        <w:spacing w:after="0" w:line="240" w:lineRule="auto"/>
        <w:rPr>
          <w:rFonts w:ascii="Times New Roman" w:eastAsia="Times New Roman" w:hAnsi="Times New Roman" w:cs="Times New Roman"/>
          <w:color w:val="222222"/>
          <w:sz w:val="24"/>
          <w:szCs w:val="24"/>
        </w:rPr>
      </w:pPr>
    </w:p>
    <w:p w14:paraId="0ED055D0" w14:textId="152C133D" w:rsidR="00B53B0B" w:rsidRDefault="00B53B0B" w:rsidP="00B53B0B">
      <w:pPr>
        <w:spacing w:after="0" w:line="240" w:lineRule="auto"/>
        <w:rPr>
          <w:rFonts w:ascii="Times New Roman" w:eastAsia="Times New Roman" w:hAnsi="Times New Roman" w:cs="Times New Roman"/>
          <w:color w:val="222222"/>
          <w:sz w:val="24"/>
          <w:szCs w:val="24"/>
        </w:rPr>
      </w:pPr>
      <w:r w:rsidRPr="00B42AD2">
        <w:rPr>
          <w:rFonts w:ascii="Times New Roman" w:eastAsia="Times New Roman" w:hAnsi="Times New Roman" w:cs="Times New Roman"/>
          <w:color w:val="222222"/>
          <w:sz w:val="24"/>
          <w:szCs w:val="24"/>
        </w:rPr>
        <w:t>Comment: We are strongly supportive of educational efforts directed towards students, as in the Strategy Component above. Climate change is an existential threat which requires extraordinary measures. College students pursuing a degree in education also need to be prepared to teach their future students about climate change. Kids are more receptive to learning than adults and often are also great teachers, taking information back home to their families. Climate education in schools is imperative. Every aspect of resiliency laid out in this plan needs to be taught in our schools. In 2020, New Jersey became the first state to implement climate change education across the entirety of its K-12 curriculum. New York should immediately do the same.</w:t>
      </w:r>
    </w:p>
    <w:p w14:paraId="56EACAFF" w14:textId="087A8F8D" w:rsidR="00032816" w:rsidRDefault="00032816" w:rsidP="00B53B0B">
      <w:pPr>
        <w:spacing w:after="0" w:line="240" w:lineRule="auto"/>
        <w:rPr>
          <w:rFonts w:ascii="Times New Roman" w:eastAsia="Times New Roman" w:hAnsi="Times New Roman" w:cs="Times New Roman"/>
          <w:color w:val="222222"/>
          <w:sz w:val="24"/>
          <w:szCs w:val="24"/>
        </w:rPr>
      </w:pPr>
    </w:p>
    <w:p w14:paraId="60E1D1D0" w14:textId="700F1B63" w:rsidR="00032816" w:rsidRDefault="00032816" w:rsidP="00B53B0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Thank you for the opportunity to comment on the NYS Draft Scoping Plan.</w:t>
      </w:r>
    </w:p>
    <w:p w14:paraId="0E9A8FAB" w14:textId="5A863968" w:rsidR="00032816" w:rsidRDefault="00032816" w:rsidP="00B53B0B">
      <w:pPr>
        <w:spacing w:after="0" w:line="240" w:lineRule="auto"/>
        <w:rPr>
          <w:rFonts w:ascii="Times New Roman" w:eastAsia="Times New Roman" w:hAnsi="Times New Roman" w:cs="Times New Roman"/>
          <w:color w:val="222222"/>
          <w:sz w:val="24"/>
          <w:szCs w:val="24"/>
        </w:rPr>
      </w:pPr>
    </w:p>
    <w:p w14:paraId="6A554403" w14:textId="2A9A0421" w:rsidR="00032816" w:rsidRDefault="00032816" w:rsidP="00B53B0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Sincerely,</w:t>
      </w:r>
    </w:p>
    <w:p w14:paraId="719D259A" w14:textId="34B866F4" w:rsidR="00032816" w:rsidRDefault="00032816" w:rsidP="00B53B0B">
      <w:pPr>
        <w:spacing w:after="0" w:line="240" w:lineRule="auto"/>
        <w:rPr>
          <w:rFonts w:ascii="Times New Roman" w:eastAsia="Times New Roman" w:hAnsi="Times New Roman" w:cs="Times New Roman"/>
          <w:color w:val="222222"/>
          <w:sz w:val="24"/>
          <w:szCs w:val="24"/>
        </w:rPr>
      </w:pPr>
    </w:p>
    <w:p w14:paraId="21526899" w14:textId="22A5E92F" w:rsidR="00032816" w:rsidRPr="00032816" w:rsidRDefault="00032816" w:rsidP="00B53B0B">
      <w:pPr>
        <w:spacing w:after="0" w:line="240" w:lineRule="auto"/>
        <w:rPr>
          <w:rFonts w:ascii="Bradley Hand ITC" w:eastAsia="Times New Roman" w:hAnsi="Bradley Hand ITC" w:cs="Times New Roman"/>
          <w:b/>
          <w:bCs/>
          <w:color w:val="222222"/>
          <w:sz w:val="24"/>
          <w:szCs w:val="24"/>
        </w:rPr>
      </w:pPr>
      <w:r w:rsidRPr="00032816">
        <w:rPr>
          <w:rFonts w:ascii="Bradley Hand ITC" w:eastAsia="Times New Roman" w:hAnsi="Bradley Hand ITC" w:cs="Times New Roman"/>
          <w:b/>
          <w:bCs/>
          <w:color w:val="222222"/>
          <w:sz w:val="24"/>
          <w:szCs w:val="24"/>
        </w:rPr>
        <w:t>Jennifer Young</w:t>
      </w:r>
    </w:p>
    <w:p w14:paraId="51EF81AC" w14:textId="6AC1037C" w:rsidR="00032816" w:rsidRDefault="00032816" w:rsidP="00B53B0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Sustainable Bethel</w:t>
      </w:r>
    </w:p>
    <w:p w14:paraId="6978B552" w14:textId="77777777" w:rsidR="00B53B0B" w:rsidRDefault="00B53B0B" w:rsidP="00B53B0B">
      <w:pPr>
        <w:spacing w:after="0" w:line="240" w:lineRule="auto"/>
        <w:rPr>
          <w:rFonts w:ascii="Times New Roman" w:eastAsia="Times New Roman" w:hAnsi="Times New Roman" w:cs="Times New Roman"/>
          <w:color w:val="222222"/>
          <w:sz w:val="24"/>
          <w:szCs w:val="24"/>
        </w:rPr>
      </w:pPr>
    </w:p>
    <w:p w14:paraId="557B9977" w14:textId="77777777" w:rsidR="00B53B0B" w:rsidRDefault="00B53B0B"/>
    <w:sectPr w:rsidR="00B53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comments="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0B"/>
    <w:rsid w:val="00032816"/>
    <w:rsid w:val="00B5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48C5"/>
  <w15:chartTrackingRefBased/>
  <w15:docId w15:val="{BB3B744D-9678-417C-91EF-0A740049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1239</Words>
  <Characters>7065</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naarlondon2@gmail.com</dc:creator>
  <cp:keywords/>
  <dc:description/>
  <cp:lastModifiedBy>naarlondon2@gmail.com</cp:lastModifiedBy>
  <cp:revision>2</cp:revision>
  <dcterms:created xsi:type="dcterms:W3CDTF">2022-06-17T18:24:00Z</dcterms:created>
  <dcterms:modified xsi:type="dcterms:W3CDTF">2022-06-17T18:29:00Z</dcterms:modified>
</cp:coreProperties>
</file>