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3A8DED" w14:textId="77777777" w:rsidR="00090F87" w:rsidRPr="00090F87" w:rsidRDefault="00090F87" w:rsidP="00090F87">
      <w:pPr>
        <w:spacing w:before="100" w:beforeAutospacing="1" w:after="100" w:afterAutospacing="1"/>
        <w:rPr>
          <w:rFonts w:ascii="Times New Roman" w:eastAsia="Times New Roman" w:hAnsi="Times New Roman" w:cs="Times New Roman"/>
        </w:rPr>
      </w:pPr>
      <w:r w:rsidRPr="00090F87">
        <w:rPr>
          <w:rFonts w:ascii="Calibri" w:eastAsia="Times New Roman" w:hAnsi="Calibri" w:cs="Calibri"/>
          <w:b/>
          <w:bCs/>
        </w:rPr>
        <w:t xml:space="preserve">Chapter 12 Buildings </w:t>
      </w:r>
    </w:p>
    <w:p w14:paraId="795F5C55" w14:textId="44868353" w:rsidR="00090F87" w:rsidRPr="00090F87" w:rsidRDefault="00090F87" w:rsidP="00090F87">
      <w:pPr>
        <w:spacing w:before="100" w:beforeAutospacing="1" w:after="100" w:afterAutospacing="1"/>
        <w:rPr>
          <w:rFonts w:ascii="Times New Roman" w:eastAsia="Times New Roman" w:hAnsi="Times New Roman" w:cs="Times New Roman"/>
        </w:rPr>
      </w:pPr>
      <w:r w:rsidRPr="00090F87">
        <w:rPr>
          <w:rFonts w:ascii="Times New Roman" w:eastAsia="Times New Roman" w:hAnsi="Times New Roman" w:cs="Times New Roman"/>
        </w:rPr>
        <w:t>While state codes will likely eliminate fossil fuel use in New Construction, the existing buildings of NYS, which represent the largest single source of emissions, are a massive challenge that requires new thinking and a dedicated funding source due to the sheer scale of the opportunity and associated upfront costs. While the recommendations from the council listed below are sound, we feel additions to the recommendations are warranted as the sheer scale of this</w:t>
      </w:r>
      <w:r>
        <w:rPr>
          <w:rFonts w:ascii="Times New Roman" w:eastAsia="Times New Roman" w:hAnsi="Times New Roman" w:cs="Times New Roman"/>
        </w:rPr>
        <w:t xml:space="preserve"> </w:t>
      </w:r>
      <w:r w:rsidRPr="00090F87">
        <w:rPr>
          <w:rFonts w:ascii="Times New Roman" w:eastAsia="Times New Roman" w:hAnsi="Times New Roman" w:cs="Times New Roman"/>
        </w:rPr>
        <w:t xml:space="preserve">once in a generation opportunity will overwhelm more limited, business as usual approaches. </w:t>
      </w:r>
    </w:p>
    <w:p w14:paraId="5A6612FA" w14:textId="77777777" w:rsidR="00090F87" w:rsidRPr="00090F87" w:rsidRDefault="00090F87" w:rsidP="00090F87">
      <w:pPr>
        <w:spacing w:before="100" w:beforeAutospacing="1" w:after="100" w:afterAutospacing="1"/>
        <w:rPr>
          <w:rFonts w:ascii="Times New Roman" w:eastAsia="Times New Roman" w:hAnsi="Times New Roman" w:cs="Times New Roman"/>
        </w:rPr>
      </w:pPr>
      <w:r w:rsidRPr="00090F87">
        <w:rPr>
          <w:rFonts w:ascii="Times New Roman" w:eastAsia="Times New Roman" w:hAnsi="Times New Roman" w:cs="Times New Roman"/>
        </w:rPr>
        <w:t xml:space="preserve">We request: </w:t>
      </w:r>
    </w:p>
    <w:p w14:paraId="38E6499E" w14:textId="553E3C4A" w:rsidR="00090F87" w:rsidRPr="00090F87" w:rsidRDefault="00090F87" w:rsidP="00090F87">
      <w:pPr>
        <w:numPr>
          <w:ilvl w:val="0"/>
          <w:numId w:val="1"/>
        </w:numPr>
        <w:spacing w:before="100" w:beforeAutospacing="1" w:after="100" w:afterAutospacing="1"/>
        <w:rPr>
          <w:rFonts w:ascii="Times New Roman" w:eastAsia="Times New Roman" w:hAnsi="Times New Roman" w:cs="Times New Roman"/>
        </w:rPr>
      </w:pPr>
      <w:r w:rsidRPr="00090F87">
        <w:rPr>
          <w:rFonts w:ascii="Times New Roman" w:eastAsia="Times New Roman" w:hAnsi="Times New Roman" w:cs="Times New Roman"/>
        </w:rPr>
        <w:t xml:space="preserve">A 30-year, long term and permanent existing-building State policy to give the private market service providers and supply chain providers direction and assurance to invest in scaling their services/products and to guide building owners in their building investment decisions </w:t>
      </w:r>
    </w:p>
    <w:p w14:paraId="75A30531" w14:textId="7122DE1F" w:rsidR="00090F87" w:rsidRPr="00090F87" w:rsidRDefault="00090F87" w:rsidP="00090F87">
      <w:pPr>
        <w:numPr>
          <w:ilvl w:val="0"/>
          <w:numId w:val="1"/>
        </w:numPr>
        <w:spacing w:before="100" w:beforeAutospacing="1" w:after="100" w:afterAutospacing="1"/>
        <w:rPr>
          <w:rFonts w:ascii="Times New Roman" w:eastAsia="Times New Roman" w:hAnsi="Times New Roman" w:cs="Times New Roman"/>
        </w:rPr>
      </w:pPr>
      <w:r w:rsidRPr="00090F87">
        <w:rPr>
          <w:rFonts w:ascii="Times New Roman" w:eastAsia="Times New Roman" w:hAnsi="Times New Roman" w:cs="Times New Roman"/>
        </w:rPr>
        <w:t xml:space="preserve">A NYS public authority revolving fund dedicated to ensuring massive pools of capital are accessible to all buildings regardless of the credit quality of the owner. Much like how the public benefit of clean water is provided to all NYS residents, a similar approach is essential to fund needed building improvements across all NYS’s building stock. </w:t>
      </w:r>
    </w:p>
    <w:p w14:paraId="0A0B1DFE" w14:textId="5E5BE978" w:rsidR="00090F87" w:rsidRPr="00090F87" w:rsidRDefault="00090F87" w:rsidP="00090F87">
      <w:pPr>
        <w:numPr>
          <w:ilvl w:val="0"/>
          <w:numId w:val="1"/>
        </w:numPr>
        <w:spacing w:before="100" w:beforeAutospacing="1" w:after="100" w:afterAutospacing="1"/>
        <w:rPr>
          <w:rFonts w:ascii="Times New Roman" w:eastAsia="Times New Roman" w:hAnsi="Times New Roman" w:cs="Times New Roman"/>
        </w:rPr>
      </w:pPr>
      <w:r w:rsidRPr="00090F87">
        <w:rPr>
          <w:rFonts w:ascii="Times New Roman" w:eastAsia="Times New Roman" w:hAnsi="Times New Roman" w:cs="Times New Roman"/>
        </w:rPr>
        <w:t xml:space="preserve">Existing building policy must also include a comprehensive approach to identify and target the poorest performing buildings and those with the largest opportunity to improve. “Load ordering” the need will assist in allocating scarce labor, scale up the supply chain and secure the needed resources in the initial 2023-2030 period where each industry will need time to scale up. </w:t>
      </w:r>
    </w:p>
    <w:p w14:paraId="678A500B" w14:textId="07334C74" w:rsidR="00090F87" w:rsidRPr="00090F87" w:rsidRDefault="00090F87" w:rsidP="00090F87">
      <w:pPr>
        <w:numPr>
          <w:ilvl w:val="0"/>
          <w:numId w:val="1"/>
        </w:numPr>
        <w:spacing w:before="100" w:beforeAutospacing="1" w:after="100" w:afterAutospacing="1"/>
        <w:rPr>
          <w:rFonts w:ascii="Times New Roman" w:eastAsia="Times New Roman" w:hAnsi="Times New Roman" w:cs="Times New Roman"/>
        </w:rPr>
      </w:pPr>
      <w:r w:rsidRPr="00090F87">
        <w:rPr>
          <w:rFonts w:ascii="Times New Roman" w:eastAsia="Times New Roman" w:hAnsi="Times New Roman" w:cs="Times New Roman"/>
        </w:rPr>
        <w:t xml:space="preserve">Lastly, all the above should be accompanied by a vision of the effects of the transformed building stock of NYS; where decarbonization is accompanied by lower community pollution, healthier occupants, lower maintenance and operating costs and NYS buildings that are the healthiest and most competitive in the world. </w:t>
      </w:r>
    </w:p>
    <w:p w14:paraId="402DADBB" w14:textId="77777777" w:rsidR="00090F87" w:rsidRPr="00090F87" w:rsidRDefault="00090F87" w:rsidP="00090F87">
      <w:pPr>
        <w:spacing w:before="100" w:beforeAutospacing="1" w:after="100" w:afterAutospacing="1"/>
        <w:rPr>
          <w:rFonts w:ascii="Times New Roman" w:eastAsia="Times New Roman" w:hAnsi="Times New Roman" w:cs="Times New Roman"/>
        </w:rPr>
      </w:pPr>
      <w:r w:rsidRPr="00090F87">
        <w:rPr>
          <w:rFonts w:ascii="Times New Roman" w:eastAsia="Times New Roman" w:hAnsi="Times New Roman" w:cs="Times New Roman"/>
        </w:rPr>
        <w:t xml:space="preserve">Agree to these sound recommendations with some modifications in bold: </w:t>
      </w:r>
    </w:p>
    <w:p w14:paraId="0AFAC802" w14:textId="77777777" w:rsidR="00090F87" w:rsidRDefault="00090F87" w:rsidP="00090F87">
      <w:pPr>
        <w:pStyle w:val="ListParagraph"/>
        <w:numPr>
          <w:ilvl w:val="0"/>
          <w:numId w:val="3"/>
        </w:numPr>
        <w:spacing w:before="100" w:beforeAutospacing="1" w:after="100" w:afterAutospacing="1"/>
        <w:rPr>
          <w:rFonts w:ascii="Times New Roman" w:eastAsia="Times New Roman" w:hAnsi="Times New Roman" w:cs="Times New Roman"/>
        </w:rPr>
      </w:pPr>
      <w:r w:rsidRPr="00090F87">
        <w:rPr>
          <w:rFonts w:ascii="Times New Roman" w:eastAsia="Times New Roman" w:hAnsi="Times New Roman" w:cs="Times New Roman"/>
          <w:b/>
          <w:bCs/>
        </w:rPr>
        <w:t xml:space="preserve">Before 2030, </w:t>
      </w:r>
      <w:r w:rsidRPr="00090F87">
        <w:rPr>
          <w:rFonts w:ascii="Times New Roman" w:eastAsia="Times New Roman" w:hAnsi="Times New Roman" w:cs="Times New Roman"/>
        </w:rPr>
        <w:t xml:space="preserve">require that only high efficiency and zero emission new equipment for space heating, cooking, clothes drying, and hot water heating is offered for sale to replace fossil fuel equipment at the end of useful life in residential and commercial buildings. </w:t>
      </w:r>
    </w:p>
    <w:p w14:paraId="6B6F91B2" w14:textId="77777777" w:rsidR="00090F87" w:rsidRPr="00090F87" w:rsidRDefault="00090F87" w:rsidP="00090F87">
      <w:pPr>
        <w:pStyle w:val="ListParagraph"/>
        <w:numPr>
          <w:ilvl w:val="0"/>
          <w:numId w:val="3"/>
        </w:numPr>
        <w:spacing w:before="100" w:beforeAutospacing="1" w:after="100" w:afterAutospacing="1"/>
        <w:rPr>
          <w:rFonts w:ascii="Times New Roman" w:eastAsia="Times New Roman" w:hAnsi="Times New Roman" w:cs="Times New Roman"/>
        </w:rPr>
      </w:pPr>
      <w:r w:rsidRPr="00090F87">
        <w:rPr>
          <w:rFonts w:ascii="Times New Roman" w:eastAsia="Times New Roman" w:hAnsi="Times New Roman" w:cs="Times New Roman"/>
        </w:rPr>
        <w:t xml:space="preserve">Require multifamily and commercial properties to undertake a comprehensive building energy assessment and have them meet an energy efficiency performance </w:t>
      </w:r>
      <w:r w:rsidRPr="00090F87">
        <w:rPr>
          <w:rFonts w:ascii="Times New Roman" w:eastAsia="Times New Roman" w:hAnsi="Times New Roman" w:cs="Times New Roman"/>
          <w:b/>
          <w:bCs/>
        </w:rPr>
        <w:t>and emissions standard ASAP</w:t>
      </w:r>
    </w:p>
    <w:p w14:paraId="0EA36764" w14:textId="77777777" w:rsidR="00090F87" w:rsidRDefault="00090F87" w:rsidP="00090F87">
      <w:pPr>
        <w:pStyle w:val="ListParagraph"/>
        <w:numPr>
          <w:ilvl w:val="1"/>
          <w:numId w:val="3"/>
        </w:numPr>
        <w:spacing w:before="100" w:beforeAutospacing="1" w:after="100" w:afterAutospacing="1"/>
        <w:rPr>
          <w:rFonts w:ascii="Times New Roman" w:eastAsia="Times New Roman" w:hAnsi="Times New Roman" w:cs="Times New Roman"/>
        </w:rPr>
      </w:pPr>
      <w:r w:rsidRPr="00090F87">
        <w:rPr>
          <w:rFonts w:ascii="Times New Roman" w:eastAsia="Times New Roman" w:hAnsi="Times New Roman" w:cs="Times New Roman"/>
        </w:rPr>
        <w:t xml:space="preserve">Compliance standards will be informed by statewide benchmarking data and align with New York City’s Local Law 97 and across State and local government requirements where appropriate. A phased-in building performance standard should become effective starting in 2027. </w:t>
      </w:r>
    </w:p>
    <w:p w14:paraId="1C283404" w14:textId="77777777" w:rsidR="00090F87" w:rsidRDefault="00090F87" w:rsidP="00090F87">
      <w:pPr>
        <w:pStyle w:val="ListParagraph"/>
        <w:numPr>
          <w:ilvl w:val="0"/>
          <w:numId w:val="3"/>
        </w:numPr>
        <w:spacing w:before="100" w:beforeAutospacing="1" w:after="100" w:afterAutospacing="1"/>
        <w:rPr>
          <w:rFonts w:ascii="Times New Roman" w:eastAsia="Times New Roman" w:hAnsi="Times New Roman" w:cs="Times New Roman"/>
        </w:rPr>
      </w:pPr>
      <w:r w:rsidRPr="00090F87">
        <w:rPr>
          <w:rFonts w:ascii="Times New Roman" w:eastAsia="Times New Roman" w:hAnsi="Times New Roman" w:cs="Times New Roman"/>
        </w:rPr>
        <w:lastRenderedPageBreak/>
        <w:t xml:space="preserve">Commence a statewide energy benchmarking and disclosure program that requires owners of multifamily and commercial properties to annually report whole building energy and water consumption data. </w:t>
      </w:r>
    </w:p>
    <w:p w14:paraId="2E19D91B" w14:textId="77777777" w:rsidR="00090F87" w:rsidRDefault="00090F87" w:rsidP="00090F87">
      <w:pPr>
        <w:pStyle w:val="ListParagraph"/>
        <w:numPr>
          <w:ilvl w:val="0"/>
          <w:numId w:val="3"/>
        </w:numPr>
        <w:spacing w:before="100" w:beforeAutospacing="1" w:after="100" w:afterAutospacing="1"/>
        <w:rPr>
          <w:rFonts w:ascii="Times New Roman" w:eastAsia="Times New Roman" w:hAnsi="Times New Roman" w:cs="Times New Roman"/>
        </w:rPr>
      </w:pPr>
      <w:r w:rsidRPr="00090F87">
        <w:rPr>
          <w:rFonts w:ascii="Times New Roman" w:eastAsia="Times New Roman" w:hAnsi="Times New Roman" w:cs="Times New Roman"/>
        </w:rPr>
        <w:t xml:space="preserve">The PSC should require electric, gas, and water utilities to provide automatic aggregated whole building uploads of utility customer data directly to EPA’s Energy Star Portfolio Manager </w:t>
      </w:r>
      <w:r w:rsidRPr="00090F87">
        <w:rPr>
          <w:rFonts w:ascii="Times New Roman" w:eastAsia="Times New Roman" w:hAnsi="Times New Roman" w:cs="Times New Roman"/>
          <w:b/>
          <w:bCs/>
        </w:rPr>
        <w:t>and to policy/governmental entities to inform policy decisions at the local and regional level. In addition, delivered fuel companies should also be required under state law to deliver similar data</w:t>
      </w:r>
      <w:r w:rsidRPr="00090F87">
        <w:rPr>
          <w:rFonts w:ascii="Times New Roman" w:eastAsia="Times New Roman" w:hAnsi="Times New Roman" w:cs="Times New Roman"/>
        </w:rPr>
        <w:t xml:space="preserve">. </w:t>
      </w:r>
    </w:p>
    <w:p w14:paraId="4475283F" w14:textId="77777777" w:rsidR="00090F87" w:rsidRPr="00090F87" w:rsidRDefault="00090F87" w:rsidP="00090F87">
      <w:pPr>
        <w:pStyle w:val="ListParagraph"/>
        <w:numPr>
          <w:ilvl w:val="0"/>
          <w:numId w:val="3"/>
        </w:numPr>
        <w:spacing w:before="100" w:beforeAutospacing="1" w:after="100" w:afterAutospacing="1"/>
        <w:rPr>
          <w:rFonts w:ascii="Times New Roman" w:eastAsia="Times New Roman" w:hAnsi="Times New Roman" w:cs="Times New Roman"/>
        </w:rPr>
      </w:pPr>
      <w:r w:rsidRPr="00090F87">
        <w:rPr>
          <w:rFonts w:ascii="Times New Roman" w:eastAsia="Times New Roman" w:hAnsi="Times New Roman" w:cs="Times New Roman"/>
          <w:b/>
          <w:bCs/>
        </w:rPr>
        <w:t xml:space="preserve">ASAP, </w:t>
      </w:r>
      <w:r w:rsidRPr="00090F87">
        <w:rPr>
          <w:rFonts w:ascii="Times New Roman" w:eastAsia="Times New Roman" w:hAnsi="Times New Roman" w:cs="Times New Roman"/>
        </w:rPr>
        <w:t xml:space="preserve">require owners of all single-family and multifamily residential and commercial buildings to obtain and publicly disclose, as part of sale or lease listing of a building, housing unit, or commercial space, the prior-year energy consumption of the building and/or unit and obtain, disclose an energy performance rating (such as a Home Energy Rating System index) as part of sale listing </w:t>
      </w:r>
      <w:r w:rsidRPr="00090F87">
        <w:rPr>
          <w:rFonts w:ascii="Times New Roman" w:eastAsia="Times New Roman" w:hAnsi="Times New Roman" w:cs="Times New Roman"/>
          <w:b/>
          <w:bCs/>
        </w:rPr>
        <w:t xml:space="preserve">and have the building meet a building performance and emissions standard. </w:t>
      </w:r>
    </w:p>
    <w:p w14:paraId="203EF359" w14:textId="0B8C98F8" w:rsidR="00090F87" w:rsidRPr="00090F87" w:rsidRDefault="00090F87" w:rsidP="00090F87">
      <w:pPr>
        <w:pStyle w:val="ListParagraph"/>
        <w:numPr>
          <w:ilvl w:val="0"/>
          <w:numId w:val="3"/>
        </w:numPr>
        <w:spacing w:before="100" w:beforeAutospacing="1" w:after="100" w:afterAutospacing="1"/>
        <w:rPr>
          <w:rFonts w:ascii="Times New Roman" w:eastAsia="Times New Roman" w:hAnsi="Times New Roman" w:cs="Times New Roman"/>
        </w:rPr>
      </w:pPr>
      <w:r w:rsidRPr="00090F87">
        <w:rPr>
          <w:rFonts w:ascii="Times New Roman" w:eastAsia="Times New Roman" w:hAnsi="Times New Roman" w:cs="Times New Roman"/>
        </w:rPr>
        <w:t xml:space="preserve">Create a revolving loan fund: Create a revolving loan fund for building decarbonization. For example, the Environmental Facilities Corporation’s (EFC) Clean Water State Revolving Fund provides a model for enabling public mandates to be coupled with access to low-cost capital. This would be implemented through a bond-issuing government authority. </w:t>
      </w:r>
    </w:p>
    <w:p w14:paraId="2BD519C4" w14:textId="0E8CE329" w:rsidR="00090F87" w:rsidRPr="00090F87" w:rsidRDefault="00090F87" w:rsidP="00090F87">
      <w:pPr>
        <w:spacing w:before="100" w:beforeAutospacing="1" w:after="100" w:afterAutospacing="1"/>
        <w:rPr>
          <w:rFonts w:ascii="Times New Roman" w:eastAsia="Times New Roman" w:hAnsi="Times New Roman" w:cs="Times New Roman"/>
        </w:rPr>
      </w:pPr>
    </w:p>
    <w:p w14:paraId="24FF2021" w14:textId="77777777" w:rsidR="00090F87" w:rsidRPr="00090F87" w:rsidRDefault="00090F87" w:rsidP="00090F87">
      <w:pPr>
        <w:spacing w:before="100" w:beforeAutospacing="1" w:after="100" w:afterAutospacing="1"/>
        <w:rPr>
          <w:rFonts w:ascii="Times New Roman" w:eastAsia="Times New Roman" w:hAnsi="Times New Roman" w:cs="Times New Roman"/>
        </w:rPr>
      </w:pPr>
      <w:r w:rsidRPr="00090F87">
        <w:rPr>
          <w:rFonts w:ascii="Times New Roman" w:eastAsia="Times New Roman" w:hAnsi="Times New Roman" w:cs="Times New Roman"/>
          <w:b/>
          <w:bCs/>
        </w:rPr>
        <w:t xml:space="preserve">Chapter 20 - Local Governments </w:t>
      </w:r>
    </w:p>
    <w:p w14:paraId="6A8067B4" w14:textId="77777777" w:rsidR="00090F87" w:rsidRPr="00090F87" w:rsidRDefault="00090F87" w:rsidP="00090F87">
      <w:pPr>
        <w:spacing w:before="100" w:beforeAutospacing="1" w:after="100" w:afterAutospacing="1"/>
        <w:rPr>
          <w:rFonts w:ascii="Times New Roman" w:eastAsia="Times New Roman" w:hAnsi="Times New Roman" w:cs="Times New Roman"/>
        </w:rPr>
      </w:pPr>
      <w:r w:rsidRPr="00090F87">
        <w:rPr>
          <w:rFonts w:ascii="Times New Roman" w:eastAsia="Times New Roman" w:hAnsi="Times New Roman" w:cs="Times New Roman"/>
        </w:rPr>
        <w:t xml:space="preserve">While the CAC makes recommendations to “support” local govts for Local Climate Action, the reliance on existing programs (Clean Energy Communities, Climate Smart Communities) and business as usual approaches (streamlined Solar Permitting, above code building codes) ignore the capacity building resources needed at the local level to carry out the scoping plan’s varied recommendations. As local governments are being asked to pass additional policies and take actions such as benchmarking existing buildings, requiring electrification of new buildings, accelerating solar deployment, and promoting resilience, </w:t>
      </w:r>
      <w:r w:rsidRPr="00090F87">
        <w:rPr>
          <w:rFonts w:ascii="Times New Roman" w:eastAsia="Times New Roman" w:hAnsi="Times New Roman" w:cs="Times New Roman"/>
          <w:b/>
          <w:bCs/>
        </w:rPr>
        <w:t>a sustainable funding stream to bolster local govt capacity would be required so as not to divert funding and resources from existing duties and responsibilities</w:t>
      </w:r>
      <w:r w:rsidRPr="00090F87">
        <w:rPr>
          <w:rFonts w:ascii="Times New Roman" w:eastAsia="Times New Roman" w:hAnsi="Times New Roman" w:cs="Times New Roman"/>
        </w:rPr>
        <w:t xml:space="preserve">. Much like how the public benefit of clean water is supported by funding streams that provide professional water and sewer staffing at the local govt level, dedicated staff at the local government level to promote and integrate low carbon, low pollution and clean energy initiatives should be developed to support the public benefit of clean energy, low pollution and eliminating GHG emissions. A department level staff focused on these issues will expand policy, support initiatives and drive adoption and enforcement of clean energy laws. </w:t>
      </w:r>
    </w:p>
    <w:p w14:paraId="52FD1C40" w14:textId="77777777" w:rsidR="00FB7576" w:rsidRDefault="00FB7576"/>
    <w:sectPr w:rsidR="00FB7576" w:rsidSect="0030581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B0C30E" w14:textId="77777777" w:rsidR="00015DF8" w:rsidRDefault="00015DF8" w:rsidP="00090F87">
      <w:r>
        <w:separator/>
      </w:r>
    </w:p>
  </w:endnote>
  <w:endnote w:type="continuationSeparator" w:id="0">
    <w:p w14:paraId="70C3C360" w14:textId="77777777" w:rsidR="00015DF8" w:rsidRDefault="00015DF8" w:rsidP="00090F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D2BA76" w14:textId="77777777" w:rsidR="00015DF8" w:rsidRDefault="00015DF8" w:rsidP="00090F87">
      <w:r>
        <w:separator/>
      </w:r>
    </w:p>
  </w:footnote>
  <w:footnote w:type="continuationSeparator" w:id="0">
    <w:p w14:paraId="15DF274F" w14:textId="77777777" w:rsidR="00015DF8" w:rsidRDefault="00015DF8" w:rsidP="00090F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50DFA" w14:textId="77777777" w:rsidR="00105C65" w:rsidRDefault="00090F87" w:rsidP="00105C65">
    <w:pPr>
      <w:pStyle w:val="NormalWeb"/>
      <w:jc w:val="center"/>
      <w:rPr>
        <w:b/>
        <w:bCs/>
      </w:rPr>
    </w:pPr>
    <w:r w:rsidRPr="00090F87">
      <w:rPr>
        <w:b/>
        <w:bCs/>
      </w:rPr>
      <w:t xml:space="preserve">Comments to the </w:t>
    </w:r>
    <w:r w:rsidRPr="00090F87">
      <w:rPr>
        <w:b/>
        <w:bCs/>
      </w:rPr>
      <w:t>NYS Climate Action Council</w:t>
    </w:r>
    <w:r w:rsidRPr="00090F87">
      <w:rPr>
        <w:b/>
        <w:bCs/>
      </w:rPr>
      <w:t xml:space="preserve"> regarding the Draft Scoping Plan</w:t>
    </w:r>
  </w:p>
  <w:p w14:paraId="56B20F03" w14:textId="077DE489" w:rsidR="00090F87" w:rsidRPr="00090F87" w:rsidRDefault="00090F87" w:rsidP="00105C65">
    <w:pPr>
      <w:pStyle w:val="NormalWeb"/>
      <w:jc w:val="center"/>
      <w:rPr>
        <w:b/>
        <w:bCs/>
      </w:rPr>
    </w:pPr>
    <w:r w:rsidRPr="00090F87">
      <w:rPr>
        <w:b/>
        <w:bCs/>
      </w:rPr>
      <w:t>Mark Thielking – Director of Energy and Sustainability, Town of Bedford NY</w:t>
    </w:r>
  </w:p>
  <w:p w14:paraId="2E6941CB" w14:textId="625D6C03" w:rsidR="00090F87" w:rsidRPr="00090F87" w:rsidRDefault="00090F87" w:rsidP="00105C65">
    <w:pPr>
      <w:pStyle w:val="NormalWeb"/>
      <w:jc w:val="center"/>
      <w:rPr>
        <w:b/>
        <w:bCs/>
      </w:rPr>
    </w:pPr>
    <w:r w:rsidRPr="00090F87">
      <w:rPr>
        <w:b/>
        <w:bCs/>
      </w:rPr>
      <w:t>July 1 2022</w:t>
    </w:r>
  </w:p>
  <w:p w14:paraId="777C3200" w14:textId="78AD13EF" w:rsidR="00090F87" w:rsidRDefault="00090F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13274"/>
    <w:multiLevelType w:val="multilevel"/>
    <w:tmpl w:val="AC4430B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3416A7"/>
    <w:multiLevelType w:val="multilevel"/>
    <w:tmpl w:val="508A2F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C4F3EB1"/>
    <w:multiLevelType w:val="hybridMultilevel"/>
    <w:tmpl w:val="8BB053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05259762">
    <w:abstractNumId w:val="1"/>
  </w:num>
  <w:num w:numId="2" w16cid:durableId="1390425163">
    <w:abstractNumId w:val="0"/>
  </w:num>
  <w:num w:numId="3" w16cid:durableId="10910484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F87"/>
    <w:rsid w:val="00015DF8"/>
    <w:rsid w:val="00090F87"/>
    <w:rsid w:val="00105C65"/>
    <w:rsid w:val="00305816"/>
    <w:rsid w:val="00FB75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2F772DF"/>
  <w15:chartTrackingRefBased/>
  <w15:docId w15:val="{B1BE8F28-12C0-BE43-845C-15309E263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90F87"/>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090F87"/>
    <w:pPr>
      <w:ind w:left="720"/>
      <w:contextualSpacing/>
    </w:pPr>
  </w:style>
  <w:style w:type="paragraph" w:styleId="Header">
    <w:name w:val="header"/>
    <w:basedOn w:val="Normal"/>
    <w:link w:val="HeaderChar"/>
    <w:uiPriority w:val="99"/>
    <w:unhideWhenUsed/>
    <w:rsid w:val="00090F87"/>
    <w:pPr>
      <w:tabs>
        <w:tab w:val="center" w:pos="4680"/>
        <w:tab w:val="right" w:pos="9360"/>
      </w:tabs>
    </w:pPr>
  </w:style>
  <w:style w:type="character" w:customStyle="1" w:styleId="HeaderChar">
    <w:name w:val="Header Char"/>
    <w:basedOn w:val="DefaultParagraphFont"/>
    <w:link w:val="Header"/>
    <w:uiPriority w:val="99"/>
    <w:rsid w:val="00090F87"/>
  </w:style>
  <w:style w:type="paragraph" w:styleId="Footer">
    <w:name w:val="footer"/>
    <w:basedOn w:val="Normal"/>
    <w:link w:val="FooterChar"/>
    <w:uiPriority w:val="99"/>
    <w:unhideWhenUsed/>
    <w:rsid w:val="00090F87"/>
    <w:pPr>
      <w:tabs>
        <w:tab w:val="center" w:pos="4680"/>
        <w:tab w:val="right" w:pos="9360"/>
      </w:tabs>
    </w:pPr>
  </w:style>
  <w:style w:type="character" w:customStyle="1" w:styleId="FooterChar">
    <w:name w:val="Footer Char"/>
    <w:basedOn w:val="DefaultParagraphFont"/>
    <w:link w:val="Footer"/>
    <w:uiPriority w:val="99"/>
    <w:rsid w:val="00090F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834597">
      <w:bodyDiv w:val="1"/>
      <w:marLeft w:val="0"/>
      <w:marRight w:val="0"/>
      <w:marTop w:val="0"/>
      <w:marBottom w:val="0"/>
      <w:divBdr>
        <w:top w:val="none" w:sz="0" w:space="0" w:color="auto"/>
        <w:left w:val="none" w:sz="0" w:space="0" w:color="auto"/>
        <w:bottom w:val="none" w:sz="0" w:space="0" w:color="auto"/>
        <w:right w:val="none" w:sz="0" w:space="0" w:color="auto"/>
      </w:divBdr>
      <w:divsChild>
        <w:div w:id="1313099294">
          <w:marLeft w:val="0"/>
          <w:marRight w:val="0"/>
          <w:marTop w:val="0"/>
          <w:marBottom w:val="0"/>
          <w:divBdr>
            <w:top w:val="none" w:sz="0" w:space="0" w:color="auto"/>
            <w:left w:val="none" w:sz="0" w:space="0" w:color="auto"/>
            <w:bottom w:val="none" w:sz="0" w:space="0" w:color="auto"/>
            <w:right w:val="none" w:sz="0" w:space="0" w:color="auto"/>
          </w:divBdr>
          <w:divsChild>
            <w:div w:id="818351861">
              <w:marLeft w:val="0"/>
              <w:marRight w:val="0"/>
              <w:marTop w:val="0"/>
              <w:marBottom w:val="0"/>
              <w:divBdr>
                <w:top w:val="none" w:sz="0" w:space="0" w:color="auto"/>
                <w:left w:val="none" w:sz="0" w:space="0" w:color="auto"/>
                <w:bottom w:val="none" w:sz="0" w:space="0" w:color="auto"/>
                <w:right w:val="none" w:sz="0" w:space="0" w:color="auto"/>
              </w:divBdr>
              <w:divsChild>
                <w:div w:id="120837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092313">
      <w:bodyDiv w:val="1"/>
      <w:marLeft w:val="0"/>
      <w:marRight w:val="0"/>
      <w:marTop w:val="0"/>
      <w:marBottom w:val="0"/>
      <w:divBdr>
        <w:top w:val="none" w:sz="0" w:space="0" w:color="auto"/>
        <w:left w:val="none" w:sz="0" w:space="0" w:color="auto"/>
        <w:bottom w:val="none" w:sz="0" w:space="0" w:color="auto"/>
        <w:right w:val="none" w:sz="0" w:space="0" w:color="auto"/>
      </w:divBdr>
      <w:divsChild>
        <w:div w:id="489251928">
          <w:marLeft w:val="0"/>
          <w:marRight w:val="0"/>
          <w:marTop w:val="0"/>
          <w:marBottom w:val="0"/>
          <w:divBdr>
            <w:top w:val="none" w:sz="0" w:space="0" w:color="auto"/>
            <w:left w:val="none" w:sz="0" w:space="0" w:color="auto"/>
            <w:bottom w:val="none" w:sz="0" w:space="0" w:color="auto"/>
            <w:right w:val="none" w:sz="0" w:space="0" w:color="auto"/>
          </w:divBdr>
          <w:divsChild>
            <w:div w:id="131994212">
              <w:marLeft w:val="0"/>
              <w:marRight w:val="0"/>
              <w:marTop w:val="0"/>
              <w:marBottom w:val="0"/>
              <w:divBdr>
                <w:top w:val="none" w:sz="0" w:space="0" w:color="auto"/>
                <w:left w:val="none" w:sz="0" w:space="0" w:color="auto"/>
                <w:bottom w:val="none" w:sz="0" w:space="0" w:color="auto"/>
                <w:right w:val="none" w:sz="0" w:space="0" w:color="auto"/>
              </w:divBdr>
              <w:divsChild>
                <w:div w:id="464205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221166">
          <w:marLeft w:val="0"/>
          <w:marRight w:val="0"/>
          <w:marTop w:val="0"/>
          <w:marBottom w:val="0"/>
          <w:divBdr>
            <w:top w:val="none" w:sz="0" w:space="0" w:color="auto"/>
            <w:left w:val="none" w:sz="0" w:space="0" w:color="auto"/>
            <w:bottom w:val="none" w:sz="0" w:space="0" w:color="auto"/>
            <w:right w:val="none" w:sz="0" w:space="0" w:color="auto"/>
          </w:divBdr>
          <w:divsChild>
            <w:div w:id="219176781">
              <w:marLeft w:val="0"/>
              <w:marRight w:val="0"/>
              <w:marTop w:val="0"/>
              <w:marBottom w:val="0"/>
              <w:divBdr>
                <w:top w:val="none" w:sz="0" w:space="0" w:color="auto"/>
                <w:left w:val="none" w:sz="0" w:space="0" w:color="auto"/>
                <w:bottom w:val="none" w:sz="0" w:space="0" w:color="auto"/>
                <w:right w:val="none" w:sz="0" w:space="0" w:color="auto"/>
              </w:divBdr>
              <w:divsChild>
                <w:div w:id="134658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2062197">
      <w:bodyDiv w:val="1"/>
      <w:marLeft w:val="0"/>
      <w:marRight w:val="0"/>
      <w:marTop w:val="0"/>
      <w:marBottom w:val="0"/>
      <w:divBdr>
        <w:top w:val="none" w:sz="0" w:space="0" w:color="auto"/>
        <w:left w:val="none" w:sz="0" w:space="0" w:color="auto"/>
        <w:bottom w:val="none" w:sz="0" w:space="0" w:color="auto"/>
        <w:right w:val="none" w:sz="0" w:space="0" w:color="auto"/>
      </w:divBdr>
      <w:divsChild>
        <w:div w:id="7342478">
          <w:marLeft w:val="0"/>
          <w:marRight w:val="0"/>
          <w:marTop w:val="0"/>
          <w:marBottom w:val="0"/>
          <w:divBdr>
            <w:top w:val="none" w:sz="0" w:space="0" w:color="auto"/>
            <w:left w:val="none" w:sz="0" w:space="0" w:color="auto"/>
            <w:bottom w:val="none" w:sz="0" w:space="0" w:color="auto"/>
            <w:right w:val="none" w:sz="0" w:space="0" w:color="auto"/>
          </w:divBdr>
          <w:divsChild>
            <w:div w:id="2004626992">
              <w:marLeft w:val="0"/>
              <w:marRight w:val="0"/>
              <w:marTop w:val="0"/>
              <w:marBottom w:val="0"/>
              <w:divBdr>
                <w:top w:val="none" w:sz="0" w:space="0" w:color="auto"/>
                <w:left w:val="none" w:sz="0" w:space="0" w:color="auto"/>
                <w:bottom w:val="none" w:sz="0" w:space="0" w:color="auto"/>
                <w:right w:val="none" w:sz="0" w:space="0" w:color="auto"/>
              </w:divBdr>
              <w:divsChild>
                <w:div w:id="129703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1905693">
      <w:bodyDiv w:val="1"/>
      <w:marLeft w:val="0"/>
      <w:marRight w:val="0"/>
      <w:marTop w:val="0"/>
      <w:marBottom w:val="0"/>
      <w:divBdr>
        <w:top w:val="none" w:sz="0" w:space="0" w:color="auto"/>
        <w:left w:val="none" w:sz="0" w:space="0" w:color="auto"/>
        <w:bottom w:val="none" w:sz="0" w:space="0" w:color="auto"/>
        <w:right w:val="none" w:sz="0" w:space="0" w:color="auto"/>
      </w:divBdr>
      <w:divsChild>
        <w:div w:id="854610098">
          <w:marLeft w:val="0"/>
          <w:marRight w:val="0"/>
          <w:marTop w:val="0"/>
          <w:marBottom w:val="0"/>
          <w:divBdr>
            <w:top w:val="none" w:sz="0" w:space="0" w:color="auto"/>
            <w:left w:val="none" w:sz="0" w:space="0" w:color="auto"/>
            <w:bottom w:val="none" w:sz="0" w:space="0" w:color="auto"/>
            <w:right w:val="none" w:sz="0" w:space="0" w:color="auto"/>
          </w:divBdr>
          <w:divsChild>
            <w:div w:id="591546651">
              <w:marLeft w:val="0"/>
              <w:marRight w:val="0"/>
              <w:marTop w:val="0"/>
              <w:marBottom w:val="0"/>
              <w:divBdr>
                <w:top w:val="none" w:sz="0" w:space="0" w:color="auto"/>
                <w:left w:val="none" w:sz="0" w:space="0" w:color="auto"/>
                <w:bottom w:val="none" w:sz="0" w:space="0" w:color="auto"/>
                <w:right w:val="none" w:sz="0" w:space="0" w:color="auto"/>
              </w:divBdr>
              <w:divsChild>
                <w:div w:id="614168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828</Words>
  <Characters>4621</Characters>
  <Application>Microsoft Office Word</Application>
  <DocSecurity>0</DocSecurity>
  <Lines>73</Lines>
  <Paragraphs>24</Paragraphs>
  <ScaleCrop>false</ScaleCrop>
  <Company/>
  <LinksUpToDate>false</LinksUpToDate>
  <CharactersWithSpaces>5425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MS Thielking</dc:creator>
  <cp:keywords/>
  <dc:description/>
  <cp:lastModifiedBy>Mark MS Thielking</cp:lastModifiedBy>
  <cp:revision>2</cp:revision>
  <dcterms:created xsi:type="dcterms:W3CDTF">2022-07-01T13:21:00Z</dcterms:created>
  <dcterms:modified xsi:type="dcterms:W3CDTF">2022-07-01T13:36:00Z</dcterms:modified>
</cp:coreProperties>
</file>