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7" w14:textId="77777777" w:rsidR="00E73A2B" w:rsidRDefault="00A25CF8">
      <w:pPr>
        <w:rPr>
          <w:rFonts w:ascii="Arial" w:eastAsia="Arial" w:hAnsi="Arial"/>
          <w:b/>
        </w:rPr>
      </w:pPr>
      <w:r>
        <w:rPr>
          <w:rFonts w:ascii="Arial" w:eastAsia="Arial" w:hAnsi="Arial"/>
          <w:b/>
        </w:rPr>
        <w:t>General commen</w:t>
      </w:r>
      <w:r>
        <w:rPr>
          <w:rFonts w:ascii="Arial" w:eastAsia="Arial" w:hAnsi="Arial"/>
          <w:b/>
        </w:rPr>
        <w:t xml:space="preserve">t: </w:t>
      </w:r>
    </w:p>
    <w:p w14:paraId="00000008" w14:textId="77777777" w:rsidR="00E73A2B" w:rsidRDefault="00A25CF8">
      <w:r>
        <w:rPr>
          <w:sz w:val="22"/>
          <w:szCs w:val="22"/>
        </w:rPr>
        <w:t>We appreciate the acknowledgement that the economic benefits of implementing the plan outweigh the economic costs of inaction. But more can be said to quantify the shifting of costs from paying for the damages caused by climate change, including to hea</w:t>
      </w:r>
      <w:r>
        <w:rPr>
          <w:sz w:val="22"/>
          <w:szCs w:val="22"/>
        </w:rPr>
        <w:t>lth, to paying to reduce those damages in the first place. Many people have provided cost estimates, and as far as public health is concerned, Stanford’s Mark Jacobson and colleagues have provided roadmaps for getting our economies off fossil fuels, includ</w:t>
      </w:r>
      <w:r>
        <w:rPr>
          <w:sz w:val="22"/>
          <w:szCs w:val="22"/>
        </w:rPr>
        <w:t>ing state-by-state scenarios starting with NYS in 2013*, a move that would not only help the planet but greatly reduce morbidity and mortality due mainly to air pollution caused by fossil fuels, which, in addition to the immeasurable societal impacts, cost</w:t>
      </w:r>
      <w:r>
        <w:rPr>
          <w:sz w:val="22"/>
          <w:szCs w:val="22"/>
        </w:rPr>
        <w:t xml:space="preserve"> us billions of dollars each year, much of which is absorbed across the population through increased health costs for everyone. This helps the conversation of “how are we going to pay for all this” since either way, we’re going to be paying, but inaction w</w:t>
      </w:r>
      <w:r>
        <w:rPr>
          <w:sz w:val="22"/>
          <w:szCs w:val="22"/>
        </w:rPr>
        <w:t>ill result in far more in terms of health and human suffering as well as costs. *</w:t>
      </w:r>
      <w:r>
        <w:t>Jacobson, M.Z., R.W. Howarth, M.A. Delucchi, S.R. Scobies, J.M. Barth, M.J. Dvorak, M. Klevze, H. Katkhuda, B. Miranda, N.A. Chowdhury, R. Jones, L. Plano, and A.R. Ingraffea,</w:t>
      </w:r>
      <w:r>
        <w:t xml:space="preserve"> Examining the feasibility of converting New York State’s all-purpose energy infrastructure to one using wind, water, and sunlight, </w:t>
      </w:r>
      <w:r>
        <w:rPr>
          <w:i/>
        </w:rPr>
        <w:t>Energy Policy 57</w:t>
      </w:r>
      <w:r>
        <w:t>, 585-601, 2013.</w:t>
      </w:r>
    </w:p>
    <w:p w14:paraId="00000009" w14:textId="77777777" w:rsidR="00E73A2B" w:rsidRDefault="00E73A2B"/>
    <w:p w14:paraId="0000000A" w14:textId="334F52BB" w:rsidR="00E73A2B" w:rsidRDefault="00A25CF8">
      <w:r w:rsidRPr="00A25CF8">
        <w:rPr>
          <w:rFonts w:ascii="Arial" w:hAnsi="Arial"/>
          <w:b/>
        </w:rPr>
        <w:t>Specific comments:</w:t>
      </w:r>
      <w:r>
        <w:t xml:space="preserve"> please see comments in the margins.</w:t>
      </w:r>
      <w:bookmarkStart w:id="0" w:name="_GoBack"/>
      <w:bookmarkEnd w:id="0"/>
    </w:p>
    <w:p w14:paraId="0000000B" w14:textId="77777777" w:rsidR="00E73A2B" w:rsidRDefault="00E73A2B">
      <w:pPr>
        <w:rPr>
          <w:rFonts w:ascii="Arial" w:eastAsia="Arial" w:hAnsi="Arial"/>
          <w:b/>
        </w:rPr>
      </w:pPr>
    </w:p>
    <w:p w14:paraId="0000000C" w14:textId="77777777" w:rsidR="00E73A2B" w:rsidRDefault="00A25CF8">
      <w:pPr>
        <w:rPr>
          <w:rFonts w:ascii="Arial" w:eastAsia="Arial" w:hAnsi="Arial"/>
          <w:b/>
          <w:sz w:val="32"/>
          <w:szCs w:val="32"/>
        </w:rPr>
      </w:pPr>
      <w:r>
        <w:rPr>
          <w:rFonts w:ascii="Arial" w:eastAsia="Arial" w:hAnsi="Arial"/>
          <w:b/>
          <w:sz w:val="32"/>
          <w:szCs w:val="32"/>
        </w:rPr>
        <w:t>Chapter 8. Public Health</w:t>
      </w:r>
    </w:p>
    <w:p w14:paraId="0000000D" w14:textId="77777777" w:rsidR="00E73A2B" w:rsidRDefault="00E73A2B">
      <w:pPr>
        <w:spacing w:line="294" w:lineRule="auto"/>
        <w:rPr>
          <w:rFonts w:ascii="Times New Roman" w:eastAsia="Times New Roman" w:hAnsi="Times New Roman" w:cs="Times New Roman"/>
        </w:rPr>
      </w:pPr>
    </w:p>
    <w:p w14:paraId="0000000E" w14:textId="77777777" w:rsidR="00E73A2B" w:rsidRDefault="00A25CF8">
      <w:pPr>
        <w:rPr>
          <w:rFonts w:ascii="Arial" w:eastAsia="Arial" w:hAnsi="Arial"/>
          <w:b/>
          <w:sz w:val="28"/>
          <w:szCs w:val="28"/>
        </w:rPr>
      </w:pPr>
      <w:r>
        <w:rPr>
          <w:rFonts w:ascii="Arial" w:eastAsia="Arial" w:hAnsi="Arial"/>
          <w:b/>
          <w:sz w:val="28"/>
          <w:szCs w:val="28"/>
        </w:rPr>
        <w:t>8.1 Climate Change Impacts on Public Health</w:t>
      </w:r>
    </w:p>
    <w:p w14:paraId="0000000F" w14:textId="77777777" w:rsidR="00E73A2B" w:rsidRDefault="00E73A2B">
      <w:pPr>
        <w:spacing w:line="71" w:lineRule="auto"/>
        <w:rPr>
          <w:rFonts w:ascii="Times New Roman" w:eastAsia="Times New Roman" w:hAnsi="Times New Roman" w:cs="Times New Roman"/>
        </w:rPr>
      </w:pPr>
    </w:p>
    <w:p w14:paraId="00000010" w14:textId="77777777" w:rsidR="00E73A2B" w:rsidRDefault="00A25CF8">
      <w:pPr>
        <w:spacing w:line="355" w:lineRule="auto"/>
        <w:ind w:right="60"/>
        <w:rPr>
          <w:rFonts w:ascii="Times New Roman" w:eastAsia="Times New Roman" w:hAnsi="Times New Roman" w:cs="Times New Roman"/>
          <w:sz w:val="22"/>
          <w:szCs w:val="22"/>
        </w:rPr>
      </w:pPr>
      <w:r>
        <w:rPr>
          <w:rFonts w:ascii="Times New Roman" w:eastAsia="Times New Roman" w:hAnsi="Times New Roman" w:cs="Times New Roman"/>
          <w:sz w:val="22"/>
          <w:szCs w:val="22"/>
        </w:rPr>
        <w:t>Climate change di</w:t>
      </w:r>
      <w:r>
        <w:rPr>
          <w:rFonts w:ascii="Times New Roman" w:eastAsia="Times New Roman" w:hAnsi="Times New Roman" w:cs="Times New Roman"/>
          <w:sz w:val="22"/>
          <w:szCs w:val="22"/>
        </w:rPr>
        <w:t>rectly and indirectly impacts physical, social, and mental health and will intensify some health stressors and cause other new health threats to emerge. Possible health impacts are far-reaching, even if not all are equally likely to occur among New Yorkers</w:t>
      </w:r>
      <w:r>
        <w:rPr>
          <w:rFonts w:ascii="Times New Roman" w:eastAsia="Times New Roman" w:hAnsi="Times New Roman" w:cs="Times New Roman"/>
          <w:sz w:val="22"/>
          <w:szCs w:val="22"/>
        </w:rPr>
        <w:t xml:space="preserve"> in the immediate future.</w:t>
      </w:r>
    </w:p>
    <w:p w14:paraId="00000011" w14:textId="77777777" w:rsidR="00E73A2B" w:rsidRDefault="00E73A2B">
      <w:pPr>
        <w:spacing w:line="377" w:lineRule="auto"/>
        <w:rPr>
          <w:rFonts w:ascii="Times New Roman" w:eastAsia="Times New Roman" w:hAnsi="Times New Roman" w:cs="Times New Roman"/>
        </w:rPr>
      </w:pPr>
    </w:p>
    <w:p w14:paraId="00000012" w14:textId="77777777" w:rsidR="00E73A2B" w:rsidRDefault="00A25CF8">
      <w:pPr>
        <w:spacing w:line="358" w:lineRule="auto"/>
        <w:ind w:right="60"/>
        <w:rPr>
          <w:rFonts w:ascii="Times New Roman" w:eastAsia="Times New Roman" w:hAnsi="Times New Roman" w:cs="Times New Roman"/>
          <w:sz w:val="22"/>
          <w:szCs w:val="22"/>
        </w:rPr>
      </w:pPr>
      <w:r>
        <w:rPr>
          <w:rFonts w:ascii="Times New Roman" w:eastAsia="Times New Roman" w:hAnsi="Times New Roman" w:cs="Times New Roman"/>
          <w:sz w:val="22"/>
          <w:szCs w:val="22"/>
        </w:rPr>
        <w:t>This year, COP26 emphasized public health more than ever before and referred to Climate Change as a “public health emergency.”</w:t>
      </w:r>
      <w:r>
        <w:rPr>
          <w:rFonts w:ascii="Arial" w:eastAsia="Arial" w:hAnsi="Arial"/>
          <w:sz w:val="12"/>
          <w:szCs w:val="12"/>
        </w:rPr>
        <w:t>57</w:t>
      </w:r>
      <w:r>
        <w:rPr>
          <w:rFonts w:ascii="Times New Roman" w:eastAsia="Times New Roman" w:hAnsi="Times New Roman" w:cs="Times New Roman"/>
          <w:sz w:val="22"/>
          <w:szCs w:val="22"/>
        </w:rPr>
        <w:t xml:space="preserve"> Recently, the editors of over 200 medical journals united to issue a call for urgent government acti</w:t>
      </w:r>
      <w:r>
        <w:rPr>
          <w:rFonts w:ascii="Times New Roman" w:eastAsia="Times New Roman" w:hAnsi="Times New Roman" w:cs="Times New Roman"/>
          <w:sz w:val="22"/>
          <w:szCs w:val="22"/>
        </w:rPr>
        <w:t>on to address global warming and protect public health and nature.</w:t>
      </w:r>
      <w:r>
        <w:rPr>
          <w:rFonts w:ascii="Arial" w:eastAsia="Arial" w:hAnsi="Arial"/>
          <w:sz w:val="12"/>
          <w:szCs w:val="12"/>
        </w:rPr>
        <w:t>58</w:t>
      </w:r>
      <w:r>
        <w:rPr>
          <w:rFonts w:ascii="Times New Roman" w:eastAsia="Times New Roman" w:hAnsi="Times New Roman" w:cs="Times New Roman"/>
          <w:sz w:val="22"/>
          <w:szCs w:val="22"/>
        </w:rPr>
        <w:t xml:space="preserve"> NYSERDA’s ClimAID report describes the impacts and adaptation strategies for New York’s water resources, coastal zones, ecosystems, agriculture, energy, transportation, and telecommunicat</w:t>
      </w:r>
      <w:r>
        <w:rPr>
          <w:rFonts w:ascii="Times New Roman" w:eastAsia="Times New Roman" w:hAnsi="Times New Roman" w:cs="Times New Roman"/>
          <w:sz w:val="22"/>
          <w:szCs w:val="22"/>
        </w:rPr>
        <w:t>ions sectors, as well as vulnerabilities and adaptation strategies related to climate change and public health. According to the New York State Department of Health (DOH) Climate and Health Profile</w:t>
      </w:r>
      <w:r>
        <w:rPr>
          <w:rFonts w:ascii="Arial" w:eastAsia="Arial" w:hAnsi="Arial"/>
          <w:sz w:val="12"/>
          <w:szCs w:val="12"/>
        </w:rPr>
        <w:t>59</w:t>
      </w:r>
      <w:r>
        <w:rPr>
          <w:rFonts w:ascii="Times New Roman" w:eastAsia="Times New Roman" w:hAnsi="Times New Roman" w:cs="Times New Roman"/>
          <w:sz w:val="22"/>
          <w:szCs w:val="22"/>
        </w:rPr>
        <w:t xml:space="preserve"> there are several potential climate-related health impac</w:t>
      </w:r>
      <w:r>
        <w:rPr>
          <w:rFonts w:ascii="Times New Roman" w:eastAsia="Times New Roman" w:hAnsi="Times New Roman" w:cs="Times New Roman"/>
          <w:sz w:val="22"/>
          <w:szCs w:val="22"/>
        </w:rPr>
        <w:t>ts in the State:</w:t>
      </w:r>
    </w:p>
    <w:p w14:paraId="00000013" w14:textId="77777777" w:rsidR="00E73A2B" w:rsidRDefault="00E73A2B">
      <w:pPr>
        <w:spacing w:line="152" w:lineRule="auto"/>
        <w:rPr>
          <w:rFonts w:ascii="Times New Roman" w:eastAsia="Times New Roman" w:hAnsi="Times New Roman" w:cs="Times New Roman"/>
        </w:rPr>
      </w:pPr>
    </w:p>
    <w:p w14:paraId="00000014" w14:textId="77777777" w:rsidR="00E73A2B" w:rsidRDefault="00A25CF8">
      <w:pPr>
        <w:numPr>
          <w:ilvl w:val="0"/>
          <w:numId w:val="8"/>
        </w:numPr>
        <w:tabs>
          <w:tab w:val="left" w:pos="720"/>
        </w:tabs>
        <w:spacing w:line="347" w:lineRule="auto"/>
        <w:ind w:left="720" w:right="140" w:hanging="360"/>
        <w:rPr>
          <w:rFonts w:ascii="Arial" w:eastAsia="Arial" w:hAnsi="Arial"/>
          <w:sz w:val="22"/>
          <w:szCs w:val="22"/>
        </w:rPr>
      </w:pPr>
      <w:r>
        <w:rPr>
          <w:rFonts w:ascii="Times New Roman" w:eastAsia="Times New Roman" w:hAnsi="Times New Roman" w:cs="Times New Roman"/>
          <w:sz w:val="22"/>
          <w:szCs w:val="22"/>
        </w:rPr>
        <w:t>Increased heat stress (such as heat edema, heat stroke, heat cramps, heat stress, and dehydration) and other heat-related morbidity and mortality</w:t>
      </w:r>
    </w:p>
    <w:p w14:paraId="00000015" w14:textId="77777777" w:rsidR="00E73A2B" w:rsidRDefault="00E73A2B">
      <w:pPr>
        <w:spacing w:line="42" w:lineRule="auto"/>
        <w:rPr>
          <w:rFonts w:ascii="Arial" w:eastAsia="Arial" w:hAnsi="Arial"/>
          <w:sz w:val="22"/>
          <w:szCs w:val="22"/>
        </w:rPr>
      </w:pPr>
    </w:p>
    <w:p w14:paraId="00000016" w14:textId="77777777" w:rsidR="00E73A2B" w:rsidRDefault="00A25CF8">
      <w:pPr>
        <w:numPr>
          <w:ilvl w:val="0"/>
          <w:numId w:val="8"/>
        </w:numPr>
        <w:tabs>
          <w:tab w:val="left" w:pos="720"/>
        </w:tabs>
        <w:spacing w:line="347" w:lineRule="auto"/>
        <w:ind w:left="720" w:right="360" w:hanging="360"/>
        <w:rPr>
          <w:rFonts w:ascii="Arial" w:eastAsia="Arial" w:hAnsi="Arial"/>
          <w:sz w:val="22"/>
          <w:szCs w:val="22"/>
        </w:rPr>
      </w:pPr>
      <w:r>
        <w:rPr>
          <w:rFonts w:ascii="Times New Roman" w:eastAsia="Times New Roman" w:hAnsi="Times New Roman" w:cs="Times New Roman"/>
          <w:sz w:val="22"/>
          <w:szCs w:val="22"/>
        </w:rPr>
        <w:lastRenderedPageBreak/>
        <w:t>Exacerbation of respiratory conditions (including pneumonia, asthma, and chronic obstructive pulmonary disease) and cardiovascular disease</w:t>
      </w:r>
    </w:p>
    <w:p w14:paraId="00000017" w14:textId="77777777" w:rsidR="00E73A2B" w:rsidRDefault="00E73A2B">
      <w:pPr>
        <w:spacing w:line="27" w:lineRule="auto"/>
        <w:rPr>
          <w:rFonts w:ascii="Arial" w:eastAsia="Arial" w:hAnsi="Arial"/>
          <w:sz w:val="22"/>
          <w:szCs w:val="22"/>
        </w:rPr>
      </w:pPr>
    </w:p>
    <w:p w14:paraId="00000018" w14:textId="77777777" w:rsidR="00E73A2B" w:rsidRDefault="00A25CF8">
      <w:pPr>
        <w:numPr>
          <w:ilvl w:val="0"/>
          <w:numId w:val="8"/>
        </w:numPr>
        <w:tabs>
          <w:tab w:val="left" w:pos="720"/>
        </w:tabs>
        <w:ind w:left="720" w:hanging="360"/>
        <w:rPr>
          <w:rFonts w:ascii="Arial" w:eastAsia="Arial" w:hAnsi="Arial"/>
          <w:sz w:val="22"/>
          <w:szCs w:val="22"/>
        </w:rPr>
      </w:pPr>
      <w:r>
        <w:rPr>
          <w:rFonts w:ascii="Times New Roman" w:eastAsia="Times New Roman" w:hAnsi="Times New Roman" w:cs="Times New Roman"/>
          <w:sz w:val="22"/>
          <w:szCs w:val="22"/>
        </w:rPr>
        <w:t>Increased risk for food- and water-borne diseases due to increasing temperatures and flooding</w:t>
      </w:r>
    </w:p>
    <w:p w14:paraId="00000019" w14:textId="77777777" w:rsidR="00E73A2B" w:rsidRDefault="00E73A2B">
      <w:pPr>
        <w:spacing w:line="154" w:lineRule="auto"/>
        <w:rPr>
          <w:rFonts w:ascii="Arial" w:eastAsia="Arial" w:hAnsi="Arial"/>
          <w:sz w:val="22"/>
          <w:szCs w:val="22"/>
        </w:rPr>
      </w:pPr>
    </w:p>
    <w:p w14:paraId="0000001A" w14:textId="77777777" w:rsidR="00E73A2B" w:rsidRDefault="00A25CF8">
      <w:pPr>
        <w:numPr>
          <w:ilvl w:val="0"/>
          <w:numId w:val="8"/>
        </w:numPr>
        <w:tabs>
          <w:tab w:val="left" w:pos="720"/>
        </w:tabs>
        <w:spacing w:line="350" w:lineRule="auto"/>
        <w:ind w:left="720" w:right="320" w:hanging="360"/>
        <w:rPr>
          <w:rFonts w:ascii="Arial" w:eastAsia="Arial" w:hAnsi="Arial"/>
          <w:sz w:val="22"/>
          <w:szCs w:val="22"/>
        </w:rPr>
      </w:pPr>
      <w:r>
        <w:rPr>
          <w:rFonts w:ascii="Times New Roman" w:eastAsia="Times New Roman" w:hAnsi="Times New Roman" w:cs="Times New Roman"/>
          <w:sz w:val="22"/>
          <w:szCs w:val="22"/>
        </w:rPr>
        <w:t>Increased duration an</w:t>
      </w:r>
      <w:r>
        <w:rPr>
          <w:rFonts w:ascii="Times New Roman" w:eastAsia="Times New Roman" w:hAnsi="Times New Roman" w:cs="Times New Roman"/>
          <w:sz w:val="22"/>
          <w:szCs w:val="22"/>
        </w:rPr>
        <w:t>d severity of allergy symptoms due to increased duration and intensity of pollen season</w:t>
      </w:r>
    </w:p>
    <w:p w14:paraId="0000001B" w14:textId="77777777" w:rsidR="00E73A2B" w:rsidRDefault="00E73A2B">
      <w:pPr>
        <w:spacing w:line="35" w:lineRule="auto"/>
        <w:rPr>
          <w:rFonts w:ascii="Arial" w:eastAsia="Arial" w:hAnsi="Arial"/>
          <w:sz w:val="22"/>
          <w:szCs w:val="22"/>
        </w:rPr>
      </w:pPr>
    </w:p>
    <w:p w14:paraId="0000001C" w14:textId="77777777" w:rsidR="00E73A2B" w:rsidRDefault="00A25CF8">
      <w:pPr>
        <w:numPr>
          <w:ilvl w:val="0"/>
          <w:numId w:val="8"/>
        </w:numPr>
        <w:tabs>
          <w:tab w:val="left" w:pos="720"/>
        </w:tabs>
        <w:spacing w:line="347" w:lineRule="auto"/>
        <w:ind w:left="720" w:right="700" w:hanging="360"/>
        <w:rPr>
          <w:rFonts w:ascii="Arial" w:eastAsia="Arial" w:hAnsi="Arial"/>
          <w:sz w:val="22"/>
          <w:szCs w:val="22"/>
        </w:rPr>
      </w:pPr>
      <w:r>
        <w:rPr>
          <w:rFonts w:ascii="Times New Roman" w:eastAsia="Times New Roman" w:hAnsi="Times New Roman" w:cs="Times New Roman"/>
          <w:sz w:val="22"/>
          <w:szCs w:val="22"/>
        </w:rPr>
        <w:t>Increased risk for vector-borne diseases (such as Lyme disease, West Nile virus, and other pathogens)</w:t>
      </w:r>
    </w:p>
    <w:p w14:paraId="0000001D" w14:textId="77777777" w:rsidR="00E73A2B" w:rsidRDefault="00E73A2B">
      <w:pPr>
        <w:spacing w:line="29" w:lineRule="auto"/>
        <w:rPr>
          <w:rFonts w:ascii="Arial" w:eastAsia="Arial" w:hAnsi="Arial"/>
          <w:sz w:val="22"/>
          <w:szCs w:val="22"/>
        </w:rPr>
      </w:pPr>
    </w:p>
    <w:p w14:paraId="0000001E" w14:textId="77777777" w:rsidR="00E73A2B" w:rsidRDefault="00A25CF8">
      <w:pPr>
        <w:numPr>
          <w:ilvl w:val="0"/>
          <w:numId w:val="8"/>
        </w:numPr>
        <w:tabs>
          <w:tab w:val="left" w:pos="720"/>
        </w:tabs>
        <w:ind w:left="720" w:hanging="360"/>
        <w:rPr>
          <w:rFonts w:ascii="Arial" w:eastAsia="Arial" w:hAnsi="Arial"/>
          <w:sz w:val="22"/>
          <w:szCs w:val="22"/>
        </w:rPr>
      </w:pPr>
      <w:r>
        <w:rPr>
          <w:rFonts w:ascii="Times New Roman" w:eastAsia="Times New Roman" w:hAnsi="Times New Roman" w:cs="Times New Roman"/>
          <w:sz w:val="22"/>
          <w:szCs w:val="22"/>
        </w:rPr>
        <w:t>Increased risk of injury and death following extreme precipitati</w:t>
      </w:r>
      <w:r>
        <w:rPr>
          <w:rFonts w:ascii="Times New Roman" w:eastAsia="Times New Roman" w:hAnsi="Times New Roman" w:cs="Times New Roman"/>
          <w:sz w:val="22"/>
          <w:szCs w:val="22"/>
        </w:rPr>
        <w:t>on events and flooding</w:t>
      </w:r>
    </w:p>
    <w:p w14:paraId="0000001F" w14:textId="77777777" w:rsidR="00E73A2B" w:rsidRDefault="00E73A2B">
      <w:pPr>
        <w:spacing w:line="200" w:lineRule="auto"/>
        <w:rPr>
          <w:rFonts w:ascii="Times New Roman" w:eastAsia="Times New Roman" w:hAnsi="Times New Roman" w:cs="Times New Roman"/>
        </w:rPr>
      </w:pPr>
    </w:p>
    <w:p w14:paraId="00000020" w14:textId="77777777" w:rsidR="00E73A2B" w:rsidRDefault="00E73A2B">
      <w:pPr>
        <w:spacing w:line="298" w:lineRule="auto"/>
        <w:rPr>
          <w:rFonts w:ascii="Times New Roman" w:eastAsia="Times New Roman" w:hAnsi="Times New Roman" w:cs="Times New Roman"/>
        </w:rPr>
      </w:pPr>
    </w:p>
    <w:p w14:paraId="00000021" w14:textId="77777777" w:rsidR="00E73A2B" w:rsidRDefault="00A25CF8">
      <w:pPr>
        <w:spacing w:line="376" w:lineRule="auto"/>
        <w:ind w:right="240"/>
        <w:rPr>
          <w:rFonts w:ascii="Times New Roman" w:eastAsia="Times New Roman" w:hAnsi="Times New Roman" w:cs="Times New Roman"/>
          <w:sz w:val="21"/>
          <w:szCs w:val="21"/>
        </w:rPr>
      </w:pPr>
      <w:r>
        <w:rPr>
          <w:rFonts w:ascii="Times New Roman" w:eastAsia="Times New Roman" w:hAnsi="Times New Roman" w:cs="Times New Roman"/>
          <w:sz w:val="21"/>
          <w:szCs w:val="21"/>
        </w:rPr>
        <w:t>Other significant impacts associated with public health that are not listed above include droughts, rising sea levels that threatening infrastructure, saltwater intrusion of our groundwater resources (which may</w:t>
      </w:r>
    </w:p>
    <w:p w14:paraId="00000022" w14:textId="77777777" w:rsidR="00E73A2B" w:rsidRDefault="00A25CF8">
      <w:pPr>
        <w:spacing w:line="20" w:lineRule="auto"/>
        <w:rPr>
          <w:rFonts w:ascii="Times New Roman" w:eastAsia="Times New Roman" w:hAnsi="Times New Roman" w:cs="Times New Roman"/>
        </w:rPr>
      </w:pPr>
      <w:r>
        <w:rPr>
          <w:noProof/>
        </w:rPr>
        <mc:AlternateContent>
          <mc:Choice Requires="wpg">
            <w:drawing>
              <wp:anchor distT="0" distB="0" distL="0" distR="0" simplePos="0" relativeHeight="251658240" behindDoc="1" locked="0" layoutInCell="1" hidden="0" allowOverlap="1">
                <wp:simplePos x="0" y="0"/>
                <wp:positionH relativeFrom="column">
                  <wp:posOffset>0</wp:posOffset>
                </wp:positionH>
                <wp:positionV relativeFrom="paragraph">
                  <wp:posOffset>254000</wp:posOffset>
                </wp:positionV>
                <wp:extent cx="1838325" cy="22225"/>
                <wp:effectExtent l="0" t="0" r="0" b="0"/>
                <wp:wrapNone/>
                <wp:docPr id="44" name=""/>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254000</wp:posOffset>
                </wp:positionV>
                <wp:extent cx="1838325" cy="22225"/>
                <wp:effectExtent b="0" l="0" r="0" t="0"/>
                <wp:wrapNone/>
                <wp:docPr id="44"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1838325" cy="22225"/>
                        </a:xfrm>
                        <a:prstGeom prst="rect"/>
                        <a:ln/>
                      </pic:spPr>
                    </pic:pic>
                  </a:graphicData>
                </a:graphic>
              </wp:anchor>
            </w:drawing>
          </mc:Fallback>
        </mc:AlternateContent>
      </w:r>
    </w:p>
    <w:p w14:paraId="00000023" w14:textId="77777777" w:rsidR="00E73A2B" w:rsidRDefault="00E73A2B">
      <w:pPr>
        <w:spacing w:line="200" w:lineRule="auto"/>
        <w:rPr>
          <w:rFonts w:ascii="Times New Roman" w:eastAsia="Times New Roman" w:hAnsi="Times New Roman" w:cs="Times New Roman"/>
        </w:rPr>
      </w:pPr>
    </w:p>
    <w:p w14:paraId="00000024" w14:textId="77777777" w:rsidR="00E73A2B" w:rsidRDefault="00E73A2B">
      <w:pPr>
        <w:spacing w:line="200" w:lineRule="auto"/>
        <w:rPr>
          <w:rFonts w:ascii="Times New Roman" w:eastAsia="Times New Roman" w:hAnsi="Times New Roman" w:cs="Times New Roman"/>
        </w:rPr>
      </w:pPr>
    </w:p>
    <w:p w14:paraId="00000025" w14:textId="77777777" w:rsidR="00E73A2B" w:rsidRDefault="00E73A2B">
      <w:pPr>
        <w:spacing w:line="303" w:lineRule="auto"/>
        <w:rPr>
          <w:rFonts w:ascii="Times New Roman" w:eastAsia="Times New Roman" w:hAnsi="Times New Roman" w:cs="Times New Roman"/>
        </w:rPr>
      </w:pPr>
    </w:p>
    <w:p w14:paraId="00000026" w14:textId="77777777" w:rsidR="00E73A2B" w:rsidRDefault="00A25CF8">
      <w:pPr>
        <w:numPr>
          <w:ilvl w:val="0"/>
          <w:numId w:val="10"/>
        </w:numPr>
        <w:tabs>
          <w:tab w:val="left" w:pos="198"/>
        </w:tabs>
        <w:spacing w:line="194" w:lineRule="auto"/>
        <w:ind w:left="280" w:right="360" w:hanging="280"/>
        <w:rPr>
          <w:rFonts w:ascii="Arial" w:eastAsia="Arial" w:hAnsi="Arial"/>
          <w:sz w:val="26"/>
          <w:szCs w:val="26"/>
          <w:vertAlign w:val="superscript"/>
        </w:rPr>
      </w:pPr>
      <w:r>
        <w:rPr>
          <w:rFonts w:ascii="Times New Roman" w:eastAsia="Times New Roman" w:hAnsi="Times New Roman" w:cs="Times New Roman"/>
          <w:sz w:val="18"/>
          <w:szCs w:val="18"/>
        </w:rPr>
        <w:t xml:space="preserve">Romanello, M. et al. 2021. The 2021 report of the </w:t>
      </w:r>
      <w:r>
        <w:rPr>
          <w:rFonts w:ascii="Times New Roman" w:eastAsia="Times New Roman" w:hAnsi="Times New Roman" w:cs="Times New Roman"/>
          <w:i/>
          <w:sz w:val="18"/>
          <w:szCs w:val="18"/>
        </w:rPr>
        <w:t>Lancet</w:t>
      </w:r>
      <w:r>
        <w:rPr>
          <w:rFonts w:ascii="Times New Roman" w:eastAsia="Times New Roman" w:hAnsi="Times New Roman" w:cs="Times New Roman"/>
          <w:sz w:val="18"/>
          <w:szCs w:val="18"/>
        </w:rPr>
        <w:t xml:space="preserve"> Countdown on health and climate change: code red for a healthy future. The Lancet. 398(10311): 1619-1662.</w:t>
      </w:r>
    </w:p>
    <w:p w14:paraId="00000027" w14:textId="77777777" w:rsidR="00E73A2B" w:rsidRDefault="00E73A2B">
      <w:pPr>
        <w:spacing w:line="107" w:lineRule="auto"/>
        <w:rPr>
          <w:rFonts w:ascii="Arial" w:eastAsia="Arial" w:hAnsi="Arial"/>
          <w:sz w:val="26"/>
          <w:szCs w:val="26"/>
          <w:vertAlign w:val="superscript"/>
        </w:rPr>
      </w:pPr>
    </w:p>
    <w:p w14:paraId="00000028" w14:textId="77777777" w:rsidR="00E73A2B" w:rsidRDefault="00A25CF8">
      <w:pPr>
        <w:numPr>
          <w:ilvl w:val="0"/>
          <w:numId w:val="10"/>
        </w:numPr>
        <w:tabs>
          <w:tab w:val="left" w:pos="208"/>
        </w:tabs>
        <w:spacing w:line="194" w:lineRule="auto"/>
        <w:ind w:left="280" w:right="20" w:hanging="280"/>
        <w:rPr>
          <w:rFonts w:ascii="Arial" w:eastAsia="Arial" w:hAnsi="Arial"/>
          <w:sz w:val="26"/>
          <w:szCs w:val="26"/>
          <w:vertAlign w:val="superscript"/>
        </w:rPr>
      </w:pPr>
      <w:r>
        <w:rPr>
          <w:rFonts w:ascii="Times New Roman" w:eastAsia="Times New Roman" w:hAnsi="Times New Roman" w:cs="Times New Roman"/>
          <w:sz w:val="18"/>
          <w:szCs w:val="18"/>
        </w:rPr>
        <w:t xml:space="preserve">“Call for Emergency Action to Limit Global Temperature Increases, Restore Biodiversity, and </w:t>
      </w:r>
      <w:r>
        <w:rPr>
          <w:rFonts w:ascii="Times New Roman" w:eastAsia="Times New Roman" w:hAnsi="Times New Roman" w:cs="Times New Roman"/>
          <w:sz w:val="18"/>
          <w:szCs w:val="18"/>
        </w:rPr>
        <w:t xml:space="preserve">Protect Health” see for example the </w:t>
      </w:r>
      <w:r>
        <w:rPr>
          <w:rFonts w:ascii="Times New Roman" w:eastAsia="Times New Roman" w:hAnsi="Times New Roman" w:cs="Times New Roman"/>
          <w:i/>
          <w:sz w:val="18"/>
          <w:szCs w:val="18"/>
        </w:rPr>
        <w:t>New England Journal of Medicine</w:t>
      </w:r>
      <w:r>
        <w:rPr>
          <w:rFonts w:ascii="Times New Roman" w:eastAsia="Times New Roman" w:hAnsi="Times New Roman" w:cs="Times New Roman"/>
          <w:sz w:val="18"/>
          <w:szCs w:val="18"/>
        </w:rPr>
        <w:t xml:space="preserve"> September 5, 2021.</w:t>
      </w:r>
    </w:p>
    <w:p w14:paraId="00000029" w14:textId="77777777" w:rsidR="00E73A2B" w:rsidRDefault="00E73A2B">
      <w:pPr>
        <w:spacing w:line="106" w:lineRule="auto"/>
        <w:rPr>
          <w:rFonts w:ascii="Arial" w:eastAsia="Arial" w:hAnsi="Arial"/>
          <w:sz w:val="26"/>
          <w:szCs w:val="26"/>
          <w:vertAlign w:val="superscript"/>
        </w:rPr>
      </w:pPr>
    </w:p>
    <w:p w14:paraId="0000002A" w14:textId="77777777" w:rsidR="00E73A2B" w:rsidRDefault="00A25CF8">
      <w:pPr>
        <w:numPr>
          <w:ilvl w:val="0"/>
          <w:numId w:val="10"/>
        </w:numPr>
        <w:tabs>
          <w:tab w:val="left" w:pos="198"/>
        </w:tabs>
        <w:spacing w:line="194" w:lineRule="auto"/>
        <w:ind w:left="280" w:right="1220" w:hanging="2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DOH. 2015. Building Resilience Against Climate Effects (BRACE) – Climate and Health Profile. Accessed at </w:t>
      </w:r>
      <w:hyperlink r:id="rId10">
        <w:r>
          <w:rPr>
            <w:rFonts w:ascii="Times New Roman" w:eastAsia="Times New Roman" w:hAnsi="Times New Roman" w:cs="Times New Roman"/>
            <w:sz w:val="18"/>
            <w:szCs w:val="18"/>
          </w:rPr>
          <w:t>climatehealthprofile6-2015.pdf (ny.gov).</w:t>
        </w:r>
      </w:hyperlink>
    </w:p>
    <w:p w14:paraId="0000002B" w14:textId="77777777" w:rsidR="00E73A2B" w:rsidRDefault="00E73A2B">
      <w:pPr>
        <w:spacing w:line="375" w:lineRule="auto"/>
        <w:rPr>
          <w:rFonts w:ascii="Times New Roman" w:eastAsia="Times New Roman" w:hAnsi="Times New Roman" w:cs="Times New Roman"/>
        </w:rPr>
      </w:pPr>
    </w:p>
    <w:tbl>
      <w:tblPr>
        <w:tblStyle w:val="af0"/>
        <w:tblW w:w="9360" w:type="dxa"/>
        <w:tblLayout w:type="fixed"/>
        <w:tblLook w:val="0000" w:firstRow="0" w:lastRow="0" w:firstColumn="0" w:lastColumn="0" w:noHBand="0" w:noVBand="0"/>
      </w:tblPr>
      <w:tblGrid>
        <w:gridCol w:w="5460"/>
        <w:gridCol w:w="3900"/>
      </w:tblGrid>
      <w:tr w:rsidR="00E73A2B" w14:paraId="4BFECDDD" w14:textId="77777777">
        <w:trPr>
          <w:trHeight w:val="184"/>
        </w:trPr>
        <w:tc>
          <w:tcPr>
            <w:tcW w:w="5460" w:type="dxa"/>
            <w:shd w:val="clear" w:color="auto" w:fill="auto"/>
            <w:vAlign w:val="bottom"/>
          </w:tcPr>
          <w:p w14:paraId="0000002C" w14:textId="77777777" w:rsidR="00E73A2B" w:rsidRDefault="00A25CF8">
            <w:pPr>
              <w:rPr>
                <w:rFonts w:ascii="Arial" w:eastAsia="Arial" w:hAnsi="Arial"/>
                <w:sz w:val="16"/>
                <w:szCs w:val="16"/>
              </w:rPr>
            </w:pPr>
            <w:hyperlink w:anchor="bookmark=id.44sinio">
              <w:r>
                <w:rPr>
                  <w:rFonts w:ascii="Arial" w:eastAsia="Arial" w:hAnsi="Arial"/>
                  <w:sz w:val="16"/>
                  <w:szCs w:val="16"/>
                </w:rPr>
                <w:t>Chapter 8. Public Health</w:t>
              </w:r>
            </w:hyperlink>
          </w:p>
        </w:tc>
        <w:tc>
          <w:tcPr>
            <w:tcW w:w="3900" w:type="dxa"/>
            <w:shd w:val="clear" w:color="auto" w:fill="auto"/>
            <w:vAlign w:val="bottom"/>
          </w:tcPr>
          <w:p w14:paraId="0000002D" w14:textId="77777777" w:rsidR="00E73A2B" w:rsidRDefault="00A25CF8">
            <w:pPr>
              <w:jc w:val="right"/>
              <w:rPr>
                <w:rFonts w:ascii="Arial" w:eastAsia="Arial" w:hAnsi="Arial"/>
                <w:sz w:val="16"/>
                <w:szCs w:val="16"/>
              </w:rPr>
            </w:pPr>
            <w:r>
              <w:rPr>
                <w:rFonts w:ascii="Arial" w:eastAsia="Arial" w:hAnsi="Arial"/>
                <w:sz w:val="16"/>
                <w:szCs w:val="16"/>
              </w:rPr>
              <w:t>53</w:t>
            </w:r>
          </w:p>
        </w:tc>
      </w:tr>
    </w:tbl>
    <w:p w14:paraId="0000002E" w14:textId="77777777" w:rsidR="00E73A2B" w:rsidRDefault="00E73A2B">
      <w:pPr>
        <w:rPr>
          <w:rFonts w:ascii="Arial" w:eastAsia="Arial" w:hAnsi="Arial"/>
          <w:sz w:val="16"/>
          <w:szCs w:val="16"/>
        </w:rPr>
        <w:sectPr w:rsidR="00E73A2B">
          <w:pgSz w:w="12240" w:h="15840"/>
          <w:pgMar w:top="1440" w:right="1440" w:bottom="395" w:left="1440" w:header="0" w:footer="0" w:gutter="0"/>
          <w:pgNumType w:start="1"/>
          <w:cols w:space="720"/>
        </w:sectPr>
      </w:pPr>
    </w:p>
    <w:p w14:paraId="0000002F" w14:textId="77777777" w:rsidR="00E73A2B" w:rsidRDefault="00E73A2B">
      <w:pPr>
        <w:spacing w:line="14" w:lineRule="auto"/>
        <w:rPr>
          <w:rFonts w:ascii="Times New Roman" w:eastAsia="Times New Roman" w:hAnsi="Times New Roman" w:cs="Times New Roman"/>
        </w:rPr>
      </w:pPr>
      <w:bookmarkStart w:id="1" w:name="bookmark=id.gjdgxs" w:colFirst="0" w:colLast="0"/>
      <w:bookmarkEnd w:id="1"/>
    </w:p>
    <w:p w14:paraId="00000030" w14:textId="77777777" w:rsidR="00E73A2B" w:rsidRDefault="00A25CF8">
      <w:pPr>
        <w:spacing w:line="359" w:lineRule="auto"/>
        <w:ind w:right="160"/>
        <w:rPr>
          <w:rFonts w:ascii="Times New Roman" w:eastAsia="Times New Roman" w:hAnsi="Times New Roman" w:cs="Times New Roman"/>
          <w:sz w:val="22"/>
          <w:szCs w:val="22"/>
        </w:rPr>
      </w:pPr>
      <w:r>
        <w:rPr>
          <w:rFonts w:ascii="Times New Roman" w:eastAsia="Times New Roman" w:hAnsi="Times New Roman" w:cs="Times New Roman"/>
          <w:sz w:val="22"/>
          <w:szCs w:val="22"/>
        </w:rPr>
        <w:t>impact drinking water supplies), poor indoor air quality (such as mold and moisture), and deteriorating outdoor air quality, particularly ground-level ozone that increases with rising temperature.</w:t>
      </w:r>
      <w:r>
        <w:rPr>
          <w:rFonts w:ascii="Arial" w:eastAsia="Arial" w:hAnsi="Arial"/>
          <w:sz w:val="12"/>
          <w:szCs w:val="12"/>
        </w:rPr>
        <w:t>60</w:t>
      </w:r>
      <w:r>
        <w:rPr>
          <w:rFonts w:ascii="Times New Roman" w:eastAsia="Times New Roman" w:hAnsi="Times New Roman" w:cs="Times New Roman"/>
          <w:sz w:val="22"/>
          <w:szCs w:val="22"/>
        </w:rPr>
        <w:t xml:space="preserve"> Climate change will add uncertainty to the continuity of </w:t>
      </w:r>
      <w:r>
        <w:rPr>
          <w:rFonts w:ascii="Times New Roman" w:eastAsia="Times New Roman" w:hAnsi="Times New Roman" w:cs="Times New Roman"/>
          <w:sz w:val="22"/>
          <w:szCs w:val="22"/>
        </w:rPr>
        <w:t>the food system, which may have impacts on food security, particularly in low-income communities.</w:t>
      </w:r>
      <w:r>
        <w:rPr>
          <w:rFonts w:ascii="Arial" w:eastAsia="Arial" w:hAnsi="Arial"/>
          <w:sz w:val="12"/>
          <w:szCs w:val="12"/>
        </w:rPr>
        <w:t>61</w:t>
      </w:r>
      <w:r>
        <w:rPr>
          <w:rFonts w:ascii="Times New Roman" w:eastAsia="Times New Roman" w:hAnsi="Times New Roman" w:cs="Times New Roman"/>
          <w:sz w:val="22"/>
          <w:szCs w:val="22"/>
        </w:rPr>
        <w:t xml:space="preserve"> Heatwaves and extreme heat events result in greater risk of heat stress.</w:t>
      </w:r>
      <w:r>
        <w:rPr>
          <w:rFonts w:ascii="Arial" w:eastAsia="Arial" w:hAnsi="Arial"/>
          <w:sz w:val="12"/>
          <w:szCs w:val="12"/>
        </w:rPr>
        <w:t>62</w:t>
      </w:r>
      <w:r>
        <w:rPr>
          <w:rFonts w:ascii="Times New Roman" w:eastAsia="Times New Roman" w:hAnsi="Times New Roman" w:cs="Times New Roman"/>
          <w:sz w:val="22"/>
          <w:szCs w:val="22"/>
        </w:rPr>
        <w:t xml:space="preserve"> Heavy rainfall associated with the remnants of Hurricane Ida resulted in flooded </w:t>
      </w:r>
      <w:r>
        <w:rPr>
          <w:rFonts w:ascii="Times New Roman" w:eastAsia="Times New Roman" w:hAnsi="Times New Roman" w:cs="Times New Roman"/>
          <w:sz w:val="22"/>
          <w:szCs w:val="22"/>
        </w:rPr>
        <w:t xml:space="preserve">subways and drowning deaths in basement apartments and cars. Superstorm Sandy resulted in the deaths of 44 New York City residents and caused $19 billion in damages (see </w:t>
      </w:r>
      <w:hyperlink w:anchor="bookmark=id.2jxsxqh">
        <w:r>
          <w:rPr>
            <w:rFonts w:ascii="Times New Roman" w:eastAsia="Times New Roman" w:hAnsi="Times New Roman" w:cs="Times New Roman"/>
            <w:i/>
            <w:sz w:val="22"/>
            <w:szCs w:val="22"/>
          </w:rPr>
          <w:t>Chapter 2. The Time is Now to</w:t>
        </w:r>
      </w:hyperlink>
      <w:r>
        <w:rPr>
          <w:rFonts w:ascii="Times New Roman" w:eastAsia="Times New Roman" w:hAnsi="Times New Roman" w:cs="Times New Roman"/>
          <w:sz w:val="22"/>
          <w:szCs w:val="22"/>
        </w:rPr>
        <w:t xml:space="preserve"> </w:t>
      </w:r>
      <w:hyperlink w:anchor="bookmark=id.2jxsxqh">
        <w:r>
          <w:rPr>
            <w:rFonts w:ascii="Times New Roman" w:eastAsia="Times New Roman" w:hAnsi="Times New Roman" w:cs="Times New Roman"/>
            <w:i/>
            <w:sz w:val="22"/>
            <w:szCs w:val="22"/>
          </w:rPr>
          <w:t>Decarbonize Our Economy</w:t>
        </w:r>
      </w:hyperlink>
      <w:hyperlink w:anchor="bookmark=id.2jxsxqh">
        <w:r>
          <w:rPr>
            <w:rFonts w:ascii="Times New Roman" w:eastAsia="Times New Roman" w:hAnsi="Times New Roman" w:cs="Times New Roman"/>
            <w:sz w:val="22"/>
            <w:szCs w:val="22"/>
          </w:rPr>
          <w:t>)</w:t>
        </w:r>
      </w:hyperlink>
      <w:r>
        <w:rPr>
          <w:rFonts w:ascii="Times New Roman" w:eastAsia="Times New Roman" w:hAnsi="Times New Roman" w:cs="Times New Roman"/>
          <w:i/>
          <w:sz w:val="22"/>
          <w:szCs w:val="22"/>
        </w:rPr>
        <w:t>.</w:t>
      </w:r>
      <w:r>
        <w:rPr>
          <w:rFonts w:ascii="Arial" w:eastAsia="Arial" w:hAnsi="Arial"/>
          <w:sz w:val="12"/>
          <w:szCs w:val="12"/>
        </w:rPr>
        <w:t>63</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These kinds of extreme weather events have been associated with anxiety</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and post-traumatic stress disorder. Some populations are more vulnerable to certain cl</w:t>
      </w:r>
      <w:r>
        <w:rPr>
          <w:rFonts w:ascii="Times New Roman" w:eastAsia="Times New Roman" w:hAnsi="Times New Roman" w:cs="Times New Roman"/>
          <w:sz w:val="22"/>
          <w:szCs w:val="22"/>
        </w:rPr>
        <w:t xml:space="preserve">imate and health impacts than others, whether due to demographic factors, socioeconomic status, physiological condition, place, or occupation. Many impacts of climate change disproportionally affect Disadvantaged </w:t>
      </w:r>
      <w:sdt>
        <w:sdtPr>
          <w:tag w:val="goog_rdk_0"/>
          <w:id w:val="307762352"/>
        </w:sdtPr>
        <w:sdtEndPr/>
        <w:sdtContent>
          <w:commentRangeStart w:id="2"/>
        </w:sdtContent>
      </w:sdt>
      <w:sdt>
        <w:sdtPr>
          <w:tag w:val="goog_rdk_1"/>
          <w:id w:val="-20246084"/>
        </w:sdtPr>
        <w:sdtEndPr/>
        <w:sdtContent>
          <w:commentRangeStart w:id="3"/>
        </w:sdtContent>
      </w:sdt>
      <w:r>
        <w:rPr>
          <w:rFonts w:ascii="Times New Roman" w:eastAsia="Times New Roman" w:hAnsi="Times New Roman" w:cs="Times New Roman"/>
          <w:sz w:val="22"/>
          <w:szCs w:val="22"/>
        </w:rPr>
        <w:t>Communities</w:t>
      </w:r>
      <w:commentRangeEnd w:id="2"/>
      <w:r>
        <w:commentReference w:id="2"/>
      </w:r>
      <w:commentRangeEnd w:id="3"/>
      <w:r>
        <w:commentReference w:id="3"/>
      </w:r>
      <w:r>
        <w:rPr>
          <w:rFonts w:ascii="Times New Roman" w:eastAsia="Times New Roman" w:hAnsi="Times New Roman" w:cs="Times New Roman"/>
          <w:sz w:val="22"/>
          <w:szCs w:val="22"/>
        </w:rPr>
        <w:t>.</w:t>
      </w:r>
    </w:p>
    <w:p w14:paraId="00000031" w14:textId="77777777" w:rsidR="00E73A2B" w:rsidRDefault="00E73A2B">
      <w:pPr>
        <w:spacing w:line="373" w:lineRule="auto"/>
        <w:rPr>
          <w:rFonts w:ascii="Times New Roman" w:eastAsia="Times New Roman" w:hAnsi="Times New Roman" w:cs="Times New Roman"/>
        </w:rPr>
      </w:pPr>
    </w:p>
    <w:p w14:paraId="00000032" w14:textId="77777777" w:rsidR="00E73A2B" w:rsidRDefault="00A25CF8">
      <w:pPr>
        <w:spacing w:line="377" w:lineRule="auto"/>
        <w:ind w:right="80"/>
        <w:rPr>
          <w:rFonts w:ascii="Times New Roman" w:eastAsia="Times New Roman" w:hAnsi="Times New Roman" w:cs="Times New Roman"/>
          <w:sz w:val="21"/>
          <w:szCs w:val="21"/>
        </w:rPr>
      </w:pPr>
      <w:r>
        <w:rPr>
          <w:rFonts w:ascii="Times New Roman" w:eastAsia="Times New Roman" w:hAnsi="Times New Roman" w:cs="Times New Roman"/>
          <w:sz w:val="21"/>
          <w:szCs w:val="21"/>
        </w:rPr>
        <w:t>In New York, as well as other parts of the U.S., significant disparities in health outcomes exist for certain groups by age, race, ethnicity, and socioeconomic status. Disparities are observed in life expectancy and rates of diabetes, cancer, heart disease</w:t>
      </w:r>
      <w:r>
        <w:rPr>
          <w:rFonts w:ascii="Times New Roman" w:eastAsia="Times New Roman" w:hAnsi="Times New Roman" w:cs="Times New Roman"/>
          <w:sz w:val="21"/>
          <w:szCs w:val="21"/>
        </w:rPr>
        <w:t>, asthma, infant mortality, and low birth weight.</w:t>
      </w:r>
      <w:r>
        <w:rPr>
          <w:rFonts w:ascii="Arial" w:eastAsia="Arial" w:hAnsi="Arial"/>
          <w:sz w:val="12"/>
          <w:szCs w:val="12"/>
        </w:rPr>
        <w:t>64,65,66</w:t>
      </w:r>
      <w:r>
        <w:rPr>
          <w:rFonts w:ascii="Times New Roman" w:eastAsia="Times New Roman" w:hAnsi="Times New Roman" w:cs="Times New Roman"/>
          <w:sz w:val="21"/>
          <w:szCs w:val="21"/>
        </w:rPr>
        <w:t xml:space="preserve"> Cardiovascular disease is the leading cause of death nationally and in New York.</w:t>
      </w:r>
      <w:r>
        <w:rPr>
          <w:rFonts w:ascii="Arial" w:eastAsia="Arial" w:hAnsi="Arial"/>
          <w:sz w:val="12"/>
          <w:szCs w:val="12"/>
        </w:rPr>
        <w:t>67</w:t>
      </w:r>
      <w:r>
        <w:rPr>
          <w:rFonts w:ascii="Times New Roman" w:eastAsia="Times New Roman" w:hAnsi="Times New Roman" w:cs="Times New Roman"/>
          <w:sz w:val="21"/>
          <w:szCs w:val="21"/>
        </w:rPr>
        <w:t xml:space="preserve"> Research studies have shown an association between exposure to air pollutants, which are released through combustio</w:t>
      </w:r>
      <w:r>
        <w:rPr>
          <w:rFonts w:ascii="Times New Roman" w:eastAsia="Times New Roman" w:hAnsi="Times New Roman" w:cs="Times New Roman"/>
          <w:sz w:val="21"/>
          <w:szCs w:val="21"/>
        </w:rPr>
        <w:t>n of fossil</w:t>
      </w:r>
    </w:p>
    <w:p w14:paraId="00000033" w14:textId="77777777" w:rsidR="00E73A2B" w:rsidRDefault="00A25CF8">
      <w:pPr>
        <w:spacing w:line="20" w:lineRule="auto"/>
        <w:rPr>
          <w:rFonts w:ascii="Times New Roman" w:eastAsia="Times New Roman" w:hAnsi="Times New Roman" w:cs="Times New Roman"/>
        </w:rPr>
      </w:pPr>
      <w:r>
        <w:rPr>
          <w:noProof/>
        </w:rPr>
        <mc:AlternateContent>
          <mc:Choice Requires="wpg">
            <w:drawing>
              <wp:anchor distT="0" distB="0" distL="0" distR="0" simplePos="0" relativeHeight="251659264" behindDoc="1" locked="0" layoutInCell="1" hidden="0" allowOverlap="1">
                <wp:simplePos x="0" y="0"/>
                <wp:positionH relativeFrom="column">
                  <wp:posOffset>0</wp:posOffset>
                </wp:positionH>
                <wp:positionV relativeFrom="paragraph">
                  <wp:posOffset>1079500</wp:posOffset>
                </wp:positionV>
                <wp:extent cx="1838325" cy="22225"/>
                <wp:effectExtent l="0" t="0" r="0" b="0"/>
                <wp:wrapNone/>
                <wp:docPr id="45" name=""/>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1079500</wp:posOffset>
                </wp:positionV>
                <wp:extent cx="1838325" cy="22225"/>
                <wp:effectExtent b="0" l="0" r="0" t="0"/>
                <wp:wrapNone/>
                <wp:docPr id="45"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1838325" cy="22225"/>
                        </a:xfrm>
                        <a:prstGeom prst="rect"/>
                        <a:ln/>
                      </pic:spPr>
                    </pic:pic>
                  </a:graphicData>
                </a:graphic>
              </wp:anchor>
            </w:drawing>
          </mc:Fallback>
        </mc:AlternateContent>
      </w:r>
    </w:p>
    <w:p w14:paraId="00000034" w14:textId="77777777" w:rsidR="00E73A2B" w:rsidRDefault="00E73A2B">
      <w:pPr>
        <w:spacing w:line="200" w:lineRule="auto"/>
        <w:rPr>
          <w:rFonts w:ascii="Times New Roman" w:eastAsia="Times New Roman" w:hAnsi="Times New Roman" w:cs="Times New Roman"/>
        </w:rPr>
      </w:pPr>
    </w:p>
    <w:p w14:paraId="00000035" w14:textId="77777777" w:rsidR="00E73A2B" w:rsidRDefault="00E73A2B">
      <w:pPr>
        <w:spacing w:line="200" w:lineRule="auto"/>
        <w:rPr>
          <w:rFonts w:ascii="Times New Roman" w:eastAsia="Times New Roman" w:hAnsi="Times New Roman" w:cs="Times New Roman"/>
        </w:rPr>
      </w:pPr>
    </w:p>
    <w:p w14:paraId="00000036" w14:textId="77777777" w:rsidR="00E73A2B" w:rsidRDefault="00E73A2B">
      <w:pPr>
        <w:spacing w:line="200" w:lineRule="auto"/>
        <w:rPr>
          <w:rFonts w:ascii="Times New Roman" w:eastAsia="Times New Roman" w:hAnsi="Times New Roman" w:cs="Times New Roman"/>
        </w:rPr>
      </w:pPr>
    </w:p>
    <w:p w14:paraId="00000037" w14:textId="77777777" w:rsidR="00E73A2B" w:rsidRDefault="00E73A2B">
      <w:pPr>
        <w:spacing w:line="200" w:lineRule="auto"/>
        <w:rPr>
          <w:rFonts w:ascii="Times New Roman" w:eastAsia="Times New Roman" w:hAnsi="Times New Roman" w:cs="Times New Roman"/>
        </w:rPr>
      </w:pPr>
    </w:p>
    <w:p w14:paraId="00000038" w14:textId="77777777" w:rsidR="00E73A2B" w:rsidRDefault="00E73A2B">
      <w:pPr>
        <w:spacing w:line="200" w:lineRule="auto"/>
        <w:rPr>
          <w:rFonts w:ascii="Times New Roman" w:eastAsia="Times New Roman" w:hAnsi="Times New Roman" w:cs="Times New Roman"/>
        </w:rPr>
      </w:pPr>
    </w:p>
    <w:p w14:paraId="00000039" w14:textId="77777777" w:rsidR="00E73A2B" w:rsidRDefault="00E73A2B">
      <w:pPr>
        <w:spacing w:line="200" w:lineRule="auto"/>
        <w:rPr>
          <w:rFonts w:ascii="Times New Roman" w:eastAsia="Times New Roman" w:hAnsi="Times New Roman" w:cs="Times New Roman"/>
        </w:rPr>
      </w:pPr>
    </w:p>
    <w:p w14:paraId="0000003A" w14:textId="77777777" w:rsidR="00E73A2B" w:rsidRDefault="00E73A2B">
      <w:pPr>
        <w:spacing w:line="200" w:lineRule="auto"/>
        <w:rPr>
          <w:rFonts w:ascii="Times New Roman" w:eastAsia="Times New Roman" w:hAnsi="Times New Roman" w:cs="Times New Roman"/>
        </w:rPr>
      </w:pPr>
    </w:p>
    <w:p w14:paraId="0000003B" w14:textId="77777777" w:rsidR="00E73A2B" w:rsidRDefault="00E73A2B">
      <w:pPr>
        <w:spacing w:line="200" w:lineRule="auto"/>
        <w:rPr>
          <w:rFonts w:ascii="Times New Roman" w:eastAsia="Times New Roman" w:hAnsi="Times New Roman" w:cs="Times New Roman"/>
        </w:rPr>
      </w:pPr>
    </w:p>
    <w:p w14:paraId="0000003C" w14:textId="77777777" w:rsidR="00E73A2B" w:rsidRDefault="00E73A2B">
      <w:pPr>
        <w:spacing w:line="200" w:lineRule="auto"/>
        <w:rPr>
          <w:rFonts w:ascii="Times New Roman" w:eastAsia="Times New Roman" w:hAnsi="Times New Roman" w:cs="Times New Roman"/>
        </w:rPr>
      </w:pPr>
    </w:p>
    <w:p w14:paraId="0000003D" w14:textId="77777777" w:rsidR="00E73A2B" w:rsidRDefault="00E73A2B">
      <w:pPr>
        <w:spacing w:line="213" w:lineRule="auto"/>
        <w:rPr>
          <w:rFonts w:ascii="Times New Roman" w:eastAsia="Times New Roman" w:hAnsi="Times New Roman" w:cs="Times New Roman"/>
        </w:rPr>
      </w:pPr>
    </w:p>
    <w:p w14:paraId="0000003E" w14:textId="77777777" w:rsidR="00E73A2B" w:rsidRDefault="00A25CF8">
      <w:pPr>
        <w:numPr>
          <w:ilvl w:val="0"/>
          <w:numId w:val="11"/>
        </w:numPr>
        <w:tabs>
          <w:tab w:val="left" w:pos="198"/>
        </w:tabs>
        <w:spacing w:line="194" w:lineRule="auto"/>
        <w:ind w:left="280" w:right="520" w:hanging="280"/>
        <w:rPr>
          <w:rFonts w:ascii="Arial" w:eastAsia="Arial" w:hAnsi="Arial"/>
          <w:sz w:val="26"/>
          <w:szCs w:val="26"/>
          <w:vertAlign w:val="superscript"/>
        </w:rPr>
      </w:pPr>
      <w:r>
        <w:rPr>
          <w:rFonts w:ascii="Times New Roman" w:eastAsia="Times New Roman" w:hAnsi="Times New Roman" w:cs="Times New Roman"/>
          <w:sz w:val="18"/>
          <w:szCs w:val="18"/>
        </w:rPr>
        <w:t>Stowell, Jennifer D., et al. “The impact of climate change and emissions control on future ozone levels: Implications for human health.” Environment International 108 (2017): 41-50.</w:t>
      </w:r>
    </w:p>
    <w:p w14:paraId="0000003F" w14:textId="77777777" w:rsidR="00E73A2B" w:rsidRDefault="00E73A2B">
      <w:pPr>
        <w:spacing w:line="107" w:lineRule="auto"/>
        <w:rPr>
          <w:rFonts w:ascii="Arial" w:eastAsia="Arial" w:hAnsi="Arial"/>
          <w:sz w:val="26"/>
          <w:szCs w:val="26"/>
          <w:vertAlign w:val="superscript"/>
        </w:rPr>
      </w:pPr>
    </w:p>
    <w:p w14:paraId="00000040" w14:textId="77777777" w:rsidR="00E73A2B" w:rsidRDefault="00A25CF8">
      <w:pPr>
        <w:numPr>
          <w:ilvl w:val="0"/>
          <w:numId w:val="11"/>
        </w:numPr>
        <w:tabs>
          <w:tab w:val="left" w:pos="198"/>
        </w:tabs>
        <w:spacing w:line="194" w:lineRule="auto"/>
        <w:ind w:left="280" w:right="2420" w:hanging="280"/>
        <w:rPr>
          <w:rFonts w:ascii="Arial" w:eastAsia="Arial" w:hAnsi="Arial"/>
          <w:sz w:val="26"/>
          <w:szCs w:val="26"/>
          <w:vertAlign w:val="superscript"/>
        </w:rPr>
      </w:pPr>
      <w:r>
        <w:rPr>
          <w:rFonts w:ascii="Times New Roman" w:eastAsia="Times New Roman" w:hAnsi="Times New Roman" w:cs="Times New Roman"/>
          <w:sz w:val="18"/>
          <w:szCs w:val="18"/>
        </w:rPr>
        <w:t>USDA. 2015. Climate Change, Global Food Security, and the U.S. Food System. Accessed at https://www.usda.gov/sites/default/files/documents/FullAssessment.pdf.</w:t>
      </w:r>
    </w:p>
    <w:p w14:paraId="00000041" w14:textId="77777777" w:rsidR="00E73A2B" w:rsidRDefault="00E73A2B">
      <w:pPr>
        <w:spacing w:line="14" w:lineRule="auto"/>
        <w:rPr>
          <w:rFonts w:ascii="Arial" w:eastAsia="Arial" w:hAnsi="Arial"/>
          <w:sz w:val="26"/>
          <w:szCs w:val="26"/>
          <w:vertAlign w:val="superscript"/>
        </w:rPr>
      </w:pPr>
    </w:p>
    <w:p w14:paraId="00000042" w14:textId="77777777" w:rsidR="00E73A2B" w:rsidRDefault="00A25CF8">
      <w:pPr>
        <w:numPr>
          <w:ilvl w:val="0"/>
          <w:numId w:val="11"/>
        </w:numPr>
        <w:tabs>
          <w:tab w:val="left" w:pos="200"/>
        </w:tabs>
        <w:ind w:left="200" w:hanging="200"/>
        <w:rPr>
          <w:rFonts w:ascii="Arial" w:eastAsia="Arial" w:hAnsi="Arial"/>
          <w:sz w:val="26"/>
          <w:szCs w:val="26"/>
          <w:vertAlign w:val="superscript"/>
        </w:rPr>
      </w:pPr>
      <w:r>
        <w:rPr>
          <w:rFonts w:ascii="Times New Roman" w:eastAsia="Times New Roman" w:hAnsi="Times New Roman" w:cs="Times New Roman"/>
          <w:sz w:val="18"/>
          <w:szCs w:val="18"/>
        </w:rPr>
        <w:t>DOH, “About Heat Stress,” DOH, Accessed at</w:t>
      </w:r>
    </w:p>
    <w:p w14:paraId="00000043" w14:textId="77777777" w:rsidR="00E73A2B" w:rsidRDefault="00E73A2B">
      <w:pPr>
        <w:spacing w:line="14" w:lineRule="auto"/>
        <w:rPr>
          <w:rFonts w:ascii="Times New Roman" w:eastAsia="Times New Roman" w:hAnsi="Times New Roman" w:cs="Times New Roman"/>
        </w:rPr>
      </w:pPr>
    </w:p>
    <w:p w14:paraId="00000044" w14:textId="77777777" w:rsidR="00E73A2B" w:rsidRDefault="00A25CF8">
      <w:pPr>
        <w:ind w:left="280"/>
        <w:rPr>
          <w:rFonts w:ascii="Times New Roman" w:eastAsia="Times New Roman" w:hAnsi="Times New Roman" w:cs="Times New Roman"/>
          <w:sz w:val="18"/>
          <w:szCs w:val="18"/>
        </w:rPr>
      </w:pPr>
      <w:r>
        <w:rPr>
          <w:rFonts w:ascii="Times New Roman" w:eastAsia="Times New Roman" w:hAnsi="Times New Roman" w:cs="Times New Roman"/>
          <w:sz w:val="18"/>
          <w:szCs w:val="18"/>
        </w:rPr>
        <w:t>https://www.health.ny.gov/statistics/environmental/p</w:t>
      </w:r>
      <w:r>
        <w:rPr>
          <w:rFonts w:ascii="Times New Roman" w:eastAsia="Times New Roman" w:hAnsi="Times New Roman" w:cs="Times New Roman"/>
          <w:sz w:val="18"/>
          <w:szCs w:val="18"/>
        </w:rPr>
        <w:t>ublic_health_tracking/about_pages/heat_stress/about_hs.</w:t>
      </w:r>
    </w:p>
    <w:p w14:paraId="00000045" w14:textId="77777777" w:rsidR="00E73A2B" w:rsidRDefault="00E73A2B">
      <w:pPr>
        <w:spacing w:line="108" w:lineRule="auto"/>
        <w:rPr>
          <w:rFonts w:ascii="Times New Roman" w:eastAsia="Times New Roman" w:hAnsi="Times New Roman" w:cs="Times New Roman"/>
        </w:rPr>
      </w:pPr>
    </w:p>
    <w:p w14:paraId="00000046" w14:textId="77777777" w:rsidR="00E73A2B" w:rsidRDefault="00A25CF8">
      <w:pPr>
        <w:numPr>
          <w:ilvl w:val="0"/>
          <w:numId w:val="12"/>
        </w:numPr>
        <w:tabs>
          <w:tab w:val="left" w:pos="198"/>
        </w:tabs>
        <w:spacing w:line="207" w:lineRule="auto"/>
        <w:ind w:left="280" w:right="140" w:hanging="280"/>
        <w:rPr>
          <w:rFonts w:ascii="Arial" w:eastAsia="Arial" w:hAnsi="Arial"/>
          <w:sz w:val="26"/>
          <w:szCs w:val="26"/>
          <w:vertAlign w:val="superscript"/>
        </w:rPr>
      </w:pPr>
      <w:r>
        <w:rPr>
          <w:rFonts w:ascii="Times New Roman" w:eastAsia="Times New Roman" w:hAnsi="Times New Roman" w:cs="Times New Roman"/>
          <w:sz w:val="18"/>
          <w:szCs w:val="18"/>
        </w:rPr>
        <w:t xml:space="preserve">Centers for Disease Control and Prevention. Health concerns associated with mold in water-damaged homes after Hurricanes Katrina and Rita--New Orleans area, Louisiana, October 2005. MMWR Morb Mortal </w:t>
      </w:r>
      <w:r>
        <w:rPr>
          <w:rFonts w:ascii="Times New Roman" w:eastAsia="Times New Roman" w:hAnsi="Times New Roman" w:cs="Times New Roman"/>
          <w:sz w:val="18"/>
          <w:szCs w:val="18"/>
        </w:rPr>
        <w:t>Wkly Rep. 2006 Jan 20;55(2):41-4. PMID: 16424858.</w:t>
      </w:r>
    </w:p>
    <w:p w14:paraId="00000047" w14:textId="77777777" w:rsidR="00E73A2B" w:rsidRDefault="00E73A2B">
      <w:pPr>
        <w:spacing w:line="14" w:lineRule="auto"/>
        <w:rPr>
          <w:rFonts w:ascii="Arial" w:eastAsia="Arial" w:hAnsi="Arial"/>
          <w:sz w:val="26"/>
          <w:szCs w:val="26"/>
          <w:vertAlign w:val="superscript"/>
        </w:rPr>
      </w:pPr>
    </w:p>
    <w:p w14:paraId="00000048" w14:textId="77777777" w:rsidR="00E73A2B" w:rsidRDefault="00A25CF8">
      <w:pPr>
        <w:numPr>
          <w:ilvl w:val="0"/>
          <w:numId w:val="12"/>
        </w:numPr>
        <w:tabs>
          <w:tab w:val="left" w:pos="200"/>
        </w:tabs>
        <w:ind w:left="200" w:hanging="200"/>
        <w:rPr>
          <w:rFonts w:ascii="Arial" w:eastAsia="Arial" w:hAnsi="Arial"/>
          <w:sz w:val="26"/>
          <w:szCs w:val="26"/>
          <w:vertAlign w:val="superscript"/>
        </w:rPr>
      </w:pPr>
      <w:r>
        <w:rPr>
          <w:rFonts w:ascii="Times New Roman" w:eastAsia="Times New Roman" w:hAnsi="Times New Roman" w:cs="Times New Roman"/>
          <w:sz w:val="18"/>
          <w:szCs w:val="18"/>
        </w:rPr>
        <w:t>CDC. Health Disparities and Inequities Report, United States. Morbidity and Mortality Weekly Reports. January 14, 2011.</w:t>
      </w:r>
    </w:p>
    <w:p w14:paraId="00000049" w14:textId="77777777" w:rsidR="00E73A2B" w:rsidRDefault="00E73A2B">
      <w:pPr>
        <w:spacing w:line="112" w:lineRule="auto"/>
        <w:rPr>
          <w:rFonts w:ascii="Arial" w:eastAsia="Arial" w:hAnsi="Arial"/>
          <w:sz w:val="26"/>
          <w:szCs w:val="26"/>
          <w:vertAlign w:val="superscript"/>
        </w:rPr>
      </w:pPr>
    </w:p>
    <w:p w14:paraId="0000004A" w14:textId="77777777" w:rsidR="00E73A2B" w:rsidRDefault="00A25CF8">
      <w:pPr>
        <w:numPr>
          <w:ilvl w:val="0"/>
          <w:numId w:val="12"/>
        </w:numPr>
        <w:tabs>
          <w:tab w:val="left" w:pos="198"/>
        </w:tabs>
        <w:spacing w:line="194" w:lineRule="auto"/>
        <w:ind w:left="280" w:right="200" w:hanging="280"/>
        <w:rPr>
          <w:rFonts w:ascii="Arial" w:eastAsia="Arial" w:hAnsi="Arial"/>
          <w:sz w:val="26"/>
          <w:szCs w:val="26"/>
          <w:vertAlign w:val="superscript"/>
        </w:rPr>
      </w:pPr>
      <w:r>
        <w:rPr>
          <w:rFonts w:ascii="Times New Roman" w:eastAsia="Times New Roman" w:hAnsi="Times New Roman" w:cs="Times New Roman"/>
          <w:sz w:val="18"/>
          <w:szCs w:val="18"/>
        </w:rPr>
        <w:t>Insaf TZ, Talbot T. Use of Spatial Epidemiology in Identifying Areas at Risk of Low Birth Weight: Small Area Surveillance Study. Preventive Medicine 2016, 88:108–114; doi: https://doi.org/10.1016/j.ypmed.2016.03.019.</w:t>
      </w:r>
    </w:p>
    <w:p w14:paraId="0000004B" w14:textId="77777777" w:rsidR="00E73A2B" w:rsidRDefault="00E73A2B">
      <w:pPr>
        <w:spacing w:line="107" w:lineRule="auto"/>
        <w:rPr>
          <w:rFonts w:ascii="Arial" w:eastAsia="Arial" w:hAnsi="Arial"/>
          <w:sz w:val="26"/>
          <w:szCs w:val="26"/>
          <w:vertAlign w:val="superscript"/>
        </w:rPr>
      </w:pPr>
    </w:p>
    <w:p w14:paraId="0000004C" w14:textId="77777777" w:rsidR="00E73A2B" w:rsidRDefault="00A25CF8">
      <w:pPr>
        <w:numPr>
          <w:ilvl w:val="0"/>
          <w:numId w:val="12"/>
        </w:numPr>
        <w:tabs>
          <w:tab w:val="left" w:pos="198"/>
        </w:tabs>
        <w:spacing w:line="194" w:lineRule="auto"/>
        <w:ind w:left="280" w:right="960" w:hanging="280"/>
        <w:rPr>
          <w:rFonts w:ascii="Arial" w:eastAsia="Arial" w:hAnsi="Arial"/>
          <w:sz w:val="26"/>
          <w:szCs w:val="26"/>
          <w:vertAlign w:val="superscript"/>
        </w:rPr>
      </w:pPr>
      <w:r>
        <w:rPr>
          <w:rFonts w:ascii="Times New Roman" w:eastAsia="Times New Roman" w:hAnsi="Times New Roman" w:cs="Times New Roman"/>
          <w:sz w:val="18"/>
          <w:szCs w:val="18"/>
        </w:rPr>
        <w:t>DOH. New York State Minority Health Su</w:t>
      </w:r>
      <w:r>
        <w:rPr>
          <w:rFonts w:ascii="Times New Roman" w:eastAsia="Times New Roman" w:hAnsi="Times New Roman" w:cs="Times New Roman"/>
          <w:sz w:val="18"/>
          <w:szCs w:val="18"/>
        </w:rPr>
        <w:t>rveillance Report: Public Health Information Group. 2007. Accessed at http://www.health.state.ny.us/statistics/community/minority/docs/surveillance_report_2007.pdf.</w:t>
      </w:r>
    </w:p>
    <w:p w14:paraId="0000004D" w14:textId="77777777" w:rsidR="00E73A2B" w:rsidRDefault="00E73A2B">
      <w:pPr>
        <w:spacing w:line="14" w:lineRule="auto"/>
        <w:rPr>
          <w:rFonts w:ascii="Arial" w:eastAsia="Arial" w:hAnsi="Arial"/>
          <w:sz w:val="26"/>
          <w:szCs w:val="26"/>
          <w:vertAlign w:val="superscript"/>
        </w:rPr>
      </w:pPr>
    </w:p>
    <w:p w14:paraId="0000004E" w14:textId="77777777" w:rsidR="00E73A2B" w:rsidRDefault="00A25CF8">
      <w:pPr>
        <w:numPr>
          <w:ilvl w:val="0"/>
          <w:numId w:val="12"/>
        </w:numPr>
        <w:tabs>
          <w:tab w:val="left" w:pos="200"/>
        </w:tabs>
        <w:ind w:left="200" w:hanging="200"/>
        <w:rPr>
          <w:rFonts w:ascii="Arial" w:eastAsia="Arial" w:hAnsi="Arial"/>
          <w:sz w:val="26"/>
          <w:szCs w:val="26"/>
          <w:vertAlign w:val="superscript"/>
        </w:rPr>
      </w:pPr>
      <w:r>
        <w:rPr>
          <w:rFonts w:ascii="Times New Roman" w:eastAsia="Times New Roman" w:hAnsi="Times New Roman" w:cs="Times New Roman"/>
          <w:sz w:val="18"/>
          <w:szCs w:val="18"/>
        </w:rPr>
        <w:t>DOH. Vital Statistics of New York State: 2018 Tables. Accessed at</w:t>
      </w:r>
    </w:p>
    <w:p w14:paraId="0000004F" w14:textId="77777777" w:rsidR="00E73A2B" w:rsidRDefault="00E73A2B">
      <w:pPr>
        <w:spacing w:line="14" w:lineRule="auto"/>
        <w:rPr>
          <w:rFonts w:ascii="Times New Roman" w:eastAsia="Times New Roman" w:hAnsi="Times New Roman" w:cs="Times New Roman"/>
        </w:rPr>
      </w:pPr>
    </w:p>
    <w:p w14:paraId="00000050" w14:textId="77777777" w:rsidR="00E73A2B" w:rsidRDefault="00A25CF8">
      <w:pPr>
        <w:ind w:left="280"/>
        <w:rPr>
          <w:rFonts w:ascii="Times New Roman" w:eastAsia="Times New Roman" w:hAnsi="Times New Roman" w:cs="Times New Roman"/>
          <w:sz w:val="18"/>
          <w:szCs w:val="18"/>
        </w:rPr>
      </w:pPr>
      <w:r>
        <w:rPr>
          <w:rFonts w:ascii="Times New Roman" w:eastAsia="Times New Roman" w:hAnsi="Times New Roman" w:cs="Times New Roman"/>
          <w:sz w:val="18"/>
          <w:szCs w:val="18"/>
        </w:rPr>
        <w:t>https://apps.health.ny.</w:t>
      </w:r>
      <w:r>
        <w:rPr>
          <w:rFonts w:ascii="Times New Roman" w:eastAsia="Times New Roman" w:hAnsi="Times New Roman" w:cs="Times New Roman"/>
          <w:sz w:val="18"/>
          <w:szCs w:val="18"/>
        </w:rPr>
        <w:t>gov/public/tabvis/PHIG_Public/lcd/reports/#state.</w:t>
      </w:r>
    </w:p>
    <w:p w14:paraId="00000051" w14:textId="77777777" w:rsidR="00E73A2B" w:rsidRDefault="00E73A2B">
      <w:pPr>
        <w:spacing w:line="374" w:lineRule="auto"/>
        <w:rPr>
          <w:rFonts w:ascii="Times New Roman" w:eastAsia="Times New Roman" w:hAnsi="Times New Roman" w:cs="Times New Roman"/>
        </w:rPr>
      </w:pPr>
    </w:p>
    <w:tbl>
      <w:tblPr>
        <w:tblStyle w:val="af1"/>
        <w:tblW w:w="9360" w:type="dxa"/>
        <w:tblLayout w:type="fixed"/>
        <w:tblLook w:val="0000" w:firstRow="0" w:lastRow="0" w:firstColumn="0" w:lastColumn="0" w:noHBand="0" w:noVBand="0"/>
      </w:tblPr>
      <w:tblGrid>
        <w:gridCol w:w="5460"/>
        <w:gridCol w:w="3900"/>
      </w:tblGrid>
      <w:tr w:rsidR="00E73A2B" w14:paraId="7F3360ED" w14:textId="77777777">
        <w:trPr>
          <w:trHeight w:val="184"/>
        </w:trPr>
        <w:tc>
          <w:tcPr>
            <w:tcW w:w="5460" w:type="dxa"/>
            <w:shd w:val="clear" w:color="auto" w:fill="auto"/>
            <w:vAlign w:val="bottom"/>
          </w:tcPr>
          <w:p w14:paraId="00000052" w14:textId="77777777" w:rsidR="00E73A2B" w:rsidRDefault="00A25CF8">
            <w:pPr>
              <w:rPr>
                <w:rFonts w:ascii="Arial" w:eastAsia="Arial" w:hAnsi="Arial"/>
                <w:sz w:val="16"/>
                <w:szCs w:val="16"/>
              </w:rPr>
            </w:pPr>
            <w:hyperlink w:anchor="bookmark=id.44sinio">
              <w:r>
                <w:rPr>
                  <w:rFonts w:ascii="Arial" w:eastAsia="Arial" w:hAnsi="Arial"/>
                  <w:sz w:val="16"/>
                  <w:szCs w:val="16"/>
                </w:rPr>
                <w:t>Chapter 8. Public Health</w:t>
              </w:r>
            </w:hyperlink>
          </w:p>
        </w:tc>
        <w:tc>
          <w:tcPr>
            <w:tcW w:w="3900" w:type="dxa"/>
            <w:shd w:val="clear" w:color="auto" w:fill="auto"/>
            <w:vAlign w:val="bottom"/>
          </w:tcPr>
          <w:p w14:paraId="00000053" w14:textId="77777777" w:rsidR="00E73A2B" w:rsidRDefault="00A25CF8">
            <w:pPr>
              <w:jc w:val="right"/>
              <w:rPr>
                <w:rFonts w:ascii="Arial" w:eastAsia="Arial" w:hAnsi="Arial"/>
                <w:sz w:val="16"/>
                <w:szCs w:val="16"/>
              </w:rPr>
            </w:pPr>
            <w:r>
              <w:rPr>
                <w:rFonts w:ascii="Arial" w:eastAsia="Arial" w:hAnsi="Arial"/>
                <w:sz w:val="16"/>
                <w:szCs w:val="16"/>
              </w:rPr>
              <w:t>54</w:t>
            </w:r>
          </w:p>
        </w:tc>
      </w:tr>
    </w:tbl>
    <w:p w14:paraId="00000054" w14:textId="77777777" w:rsidR="00E73A2B" w:rsidRDefault="00E73A2B">
      <w:pPr>
        <w:rPr>
          <w:rFonts w:ascii="Arial" w:eastAsia="Arial" w:hAnsi="Arial"/>
          <w:sz w:val="16"/>
          <w:szCs w:val="16"/>
        </w:rPr>
        <w:sectPr w:rsidR="00E73A2B">
          <w:pgSz w:w="12240" w:h="15840"/>
          <w:pgMar w:top="1440" w:right="1440" w:bottom="395" w:left="1440" w:header="0" w:footer="0" w:gutter="0"/>
          <w:cols w:space="720"/>
        </w:sectPr>
      </w:pPr>
    </w:p>
    <w:p w14:paraId="00000055" w14:textId="77777777" w:rsidR="00E73A2B" w:rsidRDefault="00E73A2B">
      <w:pPr>
        <w:spacing w:line="14" w:lineRule="auto"/>
        <w:rPr>
          <w:rFonts w:ascii="Times New Roman" w:eastAsia="Times New Roman" w:hAnsi="Times New Roman" w:cs="Times New Roman"/>
        </w:rPr>
      </w:pPr>
      <w:bookmarkStart w:id="4" w:name="bookmark=id.30j0zll" w:colFirst="0" w:colLast="0"/>
      <w:bookmarkEnd w:id="4"/>
    </w:p>
    <w:p w14:paraId="00000056" w14:textId="77777777" w:rsidR="00E73A2B" w:rsidRDefault="00A25CF8">
      <w:pPr>
        <w:spacing w:line="358" w:lineRule="auto"/>
        <w:ind w:right="20"/>
        <w:rPr>
          <w:rFonts w:ascii="Times New Roman" w:eastAsia="Times New Roman" w:hAnsi="Times New Roman" w:cs="Times New Roman"/>
          <w:sz w:val="22"/>
          <w:szCs w:val="22"/>
        </w:rPr>
      </w:pPr>
      <w:r>
        <w:rPr>
          <w:rFonts w:ascii="Times New Roman" w:eastAsia="Times New Roman" w:hAnsi="Times New Roman" w:cs="Times New Roman"/>
          <w:sz w:val="22"/>
          <w:szCs w:val="22"/>
        </w:rPr>
        <w:t>fuels, and increased hospitalization rates and mortality from cardiovascular disease.</w:t>
      </w:r>
      <w:r>
        <w:rPr>
          <w:rFonts w:ascii="Arial" w:eastAsia="Arial" w:hAnsi="Arial"/>
          <w:sz w:val="12"/>
          <w:szCs w:val="12"/>
        </w:rPr>
        <w:t>68,69,70,71</w:t>
      </w:r>
      <w:r>
        <w:rPr>
          <w:rFonts w:ascii="Times New Roman" w:eastAsia="Times New Roman" w:hAnsi="Times New Roman" w:cs="Times New Roman"/>
          <w:sz w:val="22"/>
          <w:szCs w:val="22"/>
        </w:rPr>
        <w:t xml:space="preserve"> Nationally and in New York, there are disparities in heart disease mortality and stroke mortality by race. Rates are highest in Black non-Hispanics among all race and ethnic groups.</w:t>
      </w:r>
      <w:r>
        <w:rPr>
          <w:rFonts w:ascii="Arial" w:eastAsia="Arial" w:hAnsi="Arial"/>
          <w:sz w:val="12"/>
          <w:szCs w:val="12"/>
        </w:rPr>
        <w:t>72,73</w:t>
      </w:r>
      <w:r>
        <w:rPr>
          <w:rFonts w:ascii="Times New Roman" w:eastAsia="Times New Roman" w:hAnsi="Times New Roman" w:cs="Times New Roman"/>
          <w:sz w:val="22"/>
          <w:szCs w:val="22"/>
        </w:rPr>
        <w:t xml:space="preserve"> Hospitalization rates for heart disease are also highest in Black no</w:t>
      </w:r>
      <w:r>
        <w:rPr>
          <w:rFonts w:ascii="Times New Roman" w:eastAsia="Times New Roman" w:hAnsi="Times New Roman" w:cs="Times New Roman"/>
          <w:sz w:val="22"/>
          <w:szCs w:val="22"/>
        </w:rPr>
        <w:t>n-Hispanics.</w:t>
      </w:r>
      <w:r>
        <w:rPr>
          <w:rFonts w:ascii="Arial" w:eastAsia="Arial" w:hAnsi="Arial"/>
          <w:sz w:val="12"/>
          <w:szCs w:val="12"/>
        </w:rPr>
        <w:t>74</w:t>
      </w:r>
      <w:r>
        <w:rPr>
          <w:rFonts w:ascii="Times New Roman" w:eastAsia="Times New Roman" w:hAnsi="Times New Roman" w:cs="Times New Roman"/>
          <w:sz w:val="22"/>
          <w:szCs w:val="22"/>
        </w:rPr>
        <w:t xml:space="preserve"> In addition to cardiovascular disease, asthma is a major health problem nationally and in New York. Asthma is a multifactorial disease that has many contributing causes. This includes four components of air pollution, ozone, sulfur dioxide (</w:t>
      </w:r>
      <w:r>
        <w:rPr>
          <w:rFonts w:ascii="Times New Roman" w:eastAsia="Times New Roman" w:hAnsi="Times New Roman" w:cs="Times New Roman"/>
          <w:sz w:val="22"/>
          <w:szCs w:val="22"/>
        </w:rPr>
        <w:t>SO</w:t>
      </w:r>
      <w:r>
        <w:rPr>
          <w:rFonts w:ascii="Times New Roman" w:eastAsia="Times New Roman" w:hAnsi="Times New Roman" w:cs="Times New Roman"/>
          <w:sz w:val="13"/>
          <w:szCs w:val="13"/>
        </w:rPr>
        <w:t>2</w:t>
      </w:r>
      <w:r>
        <w:rPr>
          <w:rFonts w:ascii="Times New Roman" w:eastAsia="Times New Roman" w:hAnsi="Times New Roman" w:cs="Times New Roman"/>
          <w:sz w:val="22"/>
          <w:szCs w:val="22"/>
        </w:rPr>
        <w:t>), NO</w:t>
      </w:r>
      <w:r>
        <w:rPr>
          <w:rFonts w:ascii="Times New Roman" w:eastAsia="Times New Roman" w:hAnsi="Times New Roman" w:cs="Times New Roman"/>
          <w:sz w:val="13"/>
          <w:szCs w:val="13"/>
        </w:rPr>
        <w:t>X</w:t>
      </w:r>
      <w:r>
        <w:rPr>
          <w:rFonts w:ascii="Times New Roman" w:eastAsia="Times New Roman" w:hAnsi="Times New Roman" w:cs="Times New Roman"/>
          <w:sz w:val="22"/>
          <w:szCs w:val="22"/>
        </w:rPr>
        <w:t>, and PM that are known to exacerbate asthma and to cause eye and respiratory tract irritation, cough, shortness of breath, and reduced lung function.</w:t>
      </w:r>
      <w:r>
        <w:rPr>
          <w:rFonts w:ascii="Arial" w:eastAsia="Arial" w:hAnsi="Arial"/>
          <w:sz w:val="12"/>
          <w:szCs w:val="12"/>
        </w:rPr>
        <w:t>75,76,77,78,79,80</w:t>
      </w:r>
      <w:r>
        <w:rPr>
          <w:rFonts w:ascii="Times New Roman" w:eastAsia="Times New Roman" w:hAnsi="Times New Roman" w:cs="Times New Roman"/>
          <w:sz w:val="22"/>
          <w:szCs w:val="22"/>
        </w:rPr>
        <w:t xml:space="preserve"> Asthma hospitalization rates in New York are higher in low-income areas than in</w:t>
      </w:r>
      <w:r>
        <w:rPr>
          <w:rFonts w:ascii="Times New Roman" w:eastAsia="Times New Roman" w:hAnsi="Times New Roman" w:cs="Times New Roman"/>
          <w:sz w:val="22"/>
          <w:szCs w:val="22"/>
        </w:rPr>
        <w:t xml:space="preserve"> higher income areas.</w:t>
      </w:r>
      <w:r>
        <w:rPr>
          <w:rFonts w:ascii="Arial" w:eastAsia="Arial" w:hAnsi="Arial"/>
          <w:sz w:val="12"/>
          <w:szCs w:val="12"/>
        </w:rPr>
        <w:t>81,82</w:t>
      </w:r>
      <w:r>
        <w:rPr>
          <w:rFonts w:ascii="Times New Roman" w:eastAsia="Times New Roman" w:hAnsi="Times New Roman" w:cs="Times New Roman"/>
          <w:sz w:val="22"/>
          <w:szCs w:val="22"/>
        </w:rPr>
        <w:t xml:space="preserve"> Asthma surveillance in New York has shown that the age-adjusted asthma emergency department visit, hospital discharge and mortality rates were higher among</w:t>
      </w:r>
    </w:p>
    <w:p w14:paraId="00000057" w14:textId="77777777" w:rsidR="00E73A2B" w:rsidRDefault="00A25CF8">
      <w:pPr>
        <w:spacing w:line="20" w:lineRule="auto"/>
        <w:rPr>
          <w:rFonts w:ascii="Times New Roman" w:eastAsia="Times New Roman" w:hAnsi="Times New Roman" w:cs="Times New Roman"/>
        </w:rPr>
      </w:pPr>
      <w:r>
        <w:rPr>
          <w:noProof/>
        </w:rPr>
        <mc:AlternateContent>
          <mc:Choice Requires="wpg">
            <w:drawing>
              <wp:anchor distT="0" distB="0" distL="0" distR="0" simplePos="0" relativeHeight="251660288" behindDoc="1" locked="0" layoutInCell="1" hidden="0" allowOverlap="1">
                <wp:simplePos x="0" y="0"/>
                <wp:positionH relativeFrom="column">
                  <wp:posOffset>0</wp:posOffset>
                </wp:positionH>
                <wp:positionV relativeFrom="paragraph">
                  <wp:posOffset>711200</wp:posOffset>
                </wp:positionV>
                <wp:extent cx="1838325" cy="22225"/>
                <wp:effectExtent l="0" t="0" r="0" b="0"/>
                <wp:wrapNone/>
                <wp:docPr id="46" name=""/>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711200</wp:posOffset>
                </wp:positionV>
                <wp:extent cx="1838325" cy="22225"/>
                <wp:effectExtent b="0" l="0" r="0" t="0"/>
                <wp:wrapNone/>
                <wp:docPr id="46"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1838325" cy="22225"/>
                        </a:xfrm>
                        <a:prstGeom prst="rect"/>
                        <a:ln/>
                      </pic:spPr>
                    </pic:pic>
                  </a:graphicData>
                </a:graphic>
              </wp:anchor>
            </w:drawing>
          </mc:Fallback>
        </mc:AlternateContent>
      </w:r>
    </w:p>
    <w:p w14:paraId="00000058" w14:textId="77777777" w:rsidR="00E73A2B" w:rsidRDefault="00E73A2B">
      <w:pPr>
        <w:spacing w:line="200" w:lineRule="auto"/>
        <w:rPr>
          <w:rFonts w:ascii="Times New Roman" w:eastAsia="Times New Roman" w:hAnsi="Times New Roman" w:cs="Times New Roman"/>
        </w:rPr>
      </w:pPr>
    </w:p>
    <w:p w14:paraId="00000059" w14:textId="77777777" w:rsidR="00E73A2B" w:rsidRDefault="00E73A2B">
      <w:pPr>
        <w:spacing w:line="200" w:lineRule="auto"/>
        <w:rPr>
          <w:rFonts w:ascii="Times New Roman" w:eastAsia="Times New Roman" w:hAnsi="Times New Roman" w:cs="Times New Roman"/>
        </w:rPr>
      </w:pPr>
    </w:p>
    <w:p w14:paraId="0000005A" w14:textId="77777777" w:rsidR="00E73A2B" w:rsidRDefault="00E73A2B">
      <w:pPr>
        <w:spacing w:line="200" w:lineRule="auto"/>
        <w:rPr>
          <w:rFonts w:ascii="Times New Roman" w:eastAsia="Times New Roman" w:hAnsi="Times New Roman" w:cs="Times New Roman"/>
        </w:rPr>
      </w:pPr>
    </w:p>
    <w:p w14:paraId="0000005B" w14:textId="77777777" w:rsidR="00E73A2B" w:rsidRDefault="00E73A2B">
      <w:pPr>
        <w:spacing w:line="200" w:lineRule="auto"/>
        <w:rPr>
          <w:rFonts w:ascii="Times New Roman" w:eastAsia="Times New Roman" w:hAnsi="Times New Roman" w:cs="Times New Roman"/>
        </w:rPr>
      </w:pPr>
    </w:p>
    <w:p w14:paraId="0000005C" w14:textId="77777777" w:rsidR="00E73A2B" w:rsidRDefault="00E73A2B">
      <w:pPr>
        <w:spacing w:line="200" w:lineRule="auto"/>
        <w:rPr>
          <w:rFonts w:ascii="Times New Roman" w:eastAsia="Times New Roman" w:hAnsi="Times New Roman" w:cs="Times New Roman"/>
        </w:rPr>
      </w:pPr>
    </w:p>
    <w:p w14:paraId="0000005D" w14:textId="77777777" w:rsidR="00E73A2B" w:rsidRDefault="00E73A2B">
      <w:pPr>
        <w:spacing w:line="200" w:lineRule="auto"/>
        <w:rPr>
          <w:rFonts w:ascii="Times New Roman" w:eastAsia="Times New Roman" w:hAnsi="Times New Roman" w:cs="Times New Roman"/>
        </w:rPr>
      </w:pPr>
    </w:p>
    <w:p w14:paraId="0000005E" w14:textId="77777777" w:rsidR="00E73A2B" w:rsidRDefault="00E73A2B">
      <w:pPr>
        <w:spacing w:line="230" w:lineRule="auto"/>
        <w:rPr>
          <w:rFonts w:ascii="Times New Roman" w:eastAsia="Times New Roman" w:hAnsi="Times New Roman" w:cs="Times New Roman"/>
        </w:rPr>
      </w:pPr>
    </w:p>
    <w:p w14:paraId="0000005F" w14:textId="77777777" w:rsidR="00E73A2B" w:rsidRDefault="00A25CF8">
      <w:pPr>
        <w:numPr>
          <w:ilvl w:val="0"/>
          <w:numId w:val="13"/>
        </w:numPr>
        <w:tabs>
          <w:tab w:val="left" w:pos="198"/>
        </w:tabs>
        <w:spacing w:line="194" w:lineRule="auto"/>
        <w:ind w:left="280" w:right="40" w:hanging="280"/>
        <w:rPr>
          <w:rFonts w:ascii="Arial" w:eastAsia="Arial" w:hAnsi="Arial"/>
          <w:sz w:val="26"/>
          <w:szCs w:val="26"/>
          <w:vertAlign w:val="superscript"/>
        </w:rPr>
      </w:pPr>
      <w:r>
        <w:rPr>
          <w:rFonts w:ascii="Times New Roman" w:eastAsia="Times New Roman" w:hAnsi="Times New Roman" w:cs="Times New Roman"/>
          <w:sz w:val="18"/>
          <w:szCs w:val="18"/>
        </w:rPr>
        <w:t>He, M.Z., Do, V., Liu, S. et al. Short-term PM2.5 and cardiovasc</w:t>
      </w:r>
      <w:r>
        <w:rPr>
          <w:rFonts w:ascii="Times New Roman" w:eastAsia="Times New Roman" w:hAnsi="Times New Roman" w:cs="Times New Roman"/>
          <w:sz w:val="18"/>
          <w:szCs w:val="18"/>
        </w:rPr>
        <w:t>ular admissions in NY State: assessing sensitivity to exposure model choice. Environ Health 20, 93 (2021). https://doi.org/10.1186/s12940-021-00782-3.</w:t>
      </w:r>
    </w:p>
    <w:p w14:paraId="00000060" w14:textId="77777777" w:rsidR="00E73A2B" w:rsidRDefault="00E73A2B">
      <w:pPr>
        <w:spacing w:line="107" w:lineRule="auto"/>
        <w:rPr>
          <w:rFonts w:ascii="Arial" w:eastAsia="Arial" w:hAnsi="Arial"/>
          <w:sz w:val="26"/>
          <w:szCs w:val="26"/>
          <w:vertAlign w:val="superscript"/>
        </w:rPr>
      </w:pPr>
    </w:p>
    <w:p w14:paraId="00000061" w14:textId="77777777" w:rsidR="00E73A2B" w:rsidRDefault="00A25CF8">
      <w:pPr>
        <w:numPr>
          <w:ilvl w:val="0"/>
          <w:numId w:val="13"/>
        </w:numPr>
        <w:tabs>
          <w:tab w:val="left" w:pos="198"/>
        </w:tabs>
        <w:spacing w:line="207" w:lineRule="auto"/>
        <w:ind w:left="280" w:right="140" w:hanging="280"/>
        <w:rPr>
          <w:rFonts w:ascii="Arial" w:eastAsia="Arial" w:hAnsi="Arial"/>
          <w:sz w:val="26"/>
          <w:szCs w:val="26"/>
          <w:vertAlign w:val="superscript"/>
        </w:rPr>
      </w:pPr>
      <w:r>
        <w:rPr>
          <w:rFonts w:ascii="Times New Roman" w:eastAsia="Times New Roman" w:hAnsi="Times New Roman" w:cs="Times New Roman"/>
          <w:sz w:val="18"/>
          <w:szCs w:val="18"/>
        </w:rPr>
        <w:t>Brook, Robert. Air Pollution and Cardiovascular Disease: A Statement for Healthcare Professionals from t</w:t>
      </w:r>
      <w:r>
        <w:rPr>
          <w:rFonts w:ascii="Times New Roman" w:eastAsia="Times New Roman" w:hAnsi="Times New Roman" w:cs="Times New Roman"/>
          <w:sz w:val="18"/>
          <w:szCs w:val="18"/>
        </w:rPr>
        <w:t>he Expert Panel on Population and Prevention Science for the American Health Association. Circulation: Journal of the American Health Association. 109:2655-2671. 2004.</w:t>
      </w:r>
    </w:p>
    <w:p w14:paraId="00000062" w14:textId="77777777" w:rsidR="00E73A2B" w:rsidRDefault="00E73A2B">
      <w:pPr>
        <w:spacing w:line="109" w:lineRule="auto"/>
        <w:rPr>
          <w:rFonts w:ascii="Arial" w:eastAsia="Arial" w:hAnsi="Arial"/>
          <w:sz w:val="26"/>
          <w:szCs w:val="26"/>
          <w:vertAlign w:val="superscript"/>
        </w:rPr>
      </w:pPr>
    </w:p>
    <w:p w14:paraId="00000063" w14:textId="77777777" w:rsidR="00E73A2B" w:rsidRDefault="00A25CF8">
      <w:pPr>
        <w:numPr>
          <w:ilvl w:val="0"/>
          <w:numId w:val="13"/>
        </w:numPr>
        <w:tabs>
          <w:tab w:val="left" w:pos="198"/>
        </w:tabs>
        <w:spacing w:line="194" w:lineRule="auto"/>
        <w:ind w:left="280" w:right="160" w:hanging="280"/>
        <w:rPr>
          <w:rFonts w:ascii="Arial" w:eastAsia="Arial" w:hAnsi="Arial"/>
          <w:sz w:val="26"/>
          <w:szCs w:val="26"/>
          <w:vertAlign w:val="superscript"/>
        </w:rPr>
      </w:pPr>
      <w:r>
        <w:rPr>
          <w:rFonts w:ascii="Times New Roman" w:eastAsia="Times New Roman" w:hAnsi="Times New Roman" w:cs="Times New Roman"/>
          <w:sz w:val="18"/>
          <w:szCs w:val="18"/>
        </w:rPr>
        <w:t>Al-Kindi, S.G., Brook, R.D., Biswal, S. et al. Environmental determinants of cardiovasc</w:t>
      </w:r>
      <w:r>
        <w:rPr>
          <w:rFonts w:ascii="Times New Roman" w:eastAsia="Times New Roman" w:hAnsi="Times New Roman" w:cs="Times New Roman"/>
          <w:sz w:val="18"/>
          <w:szCs w:val="18"/>
        </w:rPr>
        <w:t>ular disease: lessons learned from air pollution. Nat. Rev Cardiol 17, 656–672 (2020). https://doi.org/10.1038/s41569-020-0371-2.</w:t>
      </w:r>
    </w:p>
    <w:p w14:paraId="00000064" w14:textId="77777777" w:rsidR="00E73A2B" w:rsidRDefault="00E73A2B">
      <w:pPr>
        <w:spacing w:line="107" w:lineRule="auto"/>
        <w:rPr>
          <w:rFonts w:ascii="Arial" w:eastAsia="Arial" w:hAnsi="Arial"/>
          <w:sz w:val="26"/>
          <w:szCs w:val="26"/>
          <w:vertAlign w:val="superscript"/>
        </w:rPr>
      </w:pPr>
    </w:p>
    <w:p w14:paraId="00000065" w14:textId="77777777" w:rsidR="00E73A2B" w:rsidRDefault="00A25CF8">
      <w:pPr>
        <w:numPr>
          <w:ilvl w:val="0"/>
          <w:numId w:val="13"/>
        </w:numPr>
        <w:tabs>
          <w:tab w:val="left" w:pos="198"/>
        </w:tabs>
        <w:spacing w:line="204" w:lineRule="auto"/>
        <w:ind w:left="280" w:right="340" w:hanging="280"/>
        <w:rPr>
          <w:rFonts w:ascii="Arial" w:eastAsia="Arial" w:hAnsi="Arial"/>
          <w:sz w:val="25"/>
          <w:szCs w:val="25"/>
          <w:vertAlign w:val="superscript"/>
        </w:rPr>
      </w:pPr>
      <w:r>
        <w:rPr>
          <w:rFonts w:ascii="Times New Roman" w:eastAsia="Times New Roman" w:hAnsi="Times New Roman" w:cs="Times New Roman"/>
          <w:sz w:val="17"/>
          <w:szCs w:val="17"/>
        </w:rPr>
        <w:t>World Health Organization. Regional Office for Europe. (2018). Environmental noise guidelines for the European Region. World Health Organization. Regional Office for Europe. Accessed at https://apps.who.int/iris/handle/10665/279952.</w:t>
      </w:r>
    </w:p>
    <w:p w14:paraId="00000066" w14:textId="77777777" w:rsidR="00E73A2B" w:rsidRDefault="00E73A2B">
      <w:pPr>
        <w:spacing w:line="108" w:lineRule="auto"/>
        <w:rPr>
          <w:rFonts w:ascii="Arial" w:eastAsia="Arial" w:hAnsi="Arial"/>
          <w:sz w:val="25"/>
          <w:szCs w:val="25"/>
          <w:vertAlign w:val="superscript"/>
        </w:rPr>
      </w:pPr>
    </w:p>
    <w:p w14:paraId="00000067" w14:textId="77777777" w:rsidR="00E73A2B" w:rsidRDefault="00A25CF8">
      <w:pPr>
        <w:numPr>
          <w:ilvl w:val="0"/>
          <w:numId w:val="13"/>
        </w:numPr>
        <w:tabs>
          <w:tab w:val="left" w:pos="198"/>
        </w:tabs>
        <w:spacing w:line="194" w:lineRule="auto"/>
        <w:ind w:left="280" w:right="1440" w:hanging="280"/>
        <w:rPr>
          <w:rFonts w:ascii="Arial" w:eastAsia="Arial" w:hAnsi="Arial"/>
          <w:sz w:val="26"/>
          <w:szCs w:val="26"/>
          <w:vertAlign w:val="superscript"/>
        </w:rPr>
      </w:pPr>
      <w:r>
        <w:rPr>
          <w:rFonts w:ascii="Times New Roman" w:eastAsia="Times New Roman" w:hAnsi="Times New Roman" w:cs="Times New Roman"/>
          <w:sz w:val="18"/>
          <w:szCs w:val="18"/>
        </w:rPr>
        <w:t>DOH. New York State Mi</w:t>
      </w:r>
      <w:r>
        <w:rPr>
          <w:rFonts w:ascii="Times New Roman" w:eastAsia="Times New Roman" w:hAnsi="Times New Roman" w:cs="Times New Roman"/>
          <w:sz w:val="18"/>
          <w:szCs w:val="18"/>
        </w:rPr>
        <w:t>nority Health Surveillance Report. 2012. Accessed at https://www.health.ny.gov/ statistics/community/minority/docs/surveillance_report_2012.pdf.</w:t>
      </w:r>
    </w:p>
    <w:p w14:paraId="00000068" w14:textId="77777777" w:rsidR="00E73A2B" w:rsidRDefault="00E73A2B">
      <w:pPr>
        <w:spacing w:line="107" w:lineRule="auto"/>
        <w:rPr>
          <w:rFonts w:ascii="Arial" w:eastAsia="Arial" w:hAnsi="Arial"/>
          <w:sz w:val="26"/>
          <w:szCs w:val="26"/>
          <w:vertAlign w:val="superscript"/>
        </w:rPr>
      </w:pPr>
    </w:p>
    <w:p w14:paraId="00000069" w14:textId="77777777" w:rsidR="00E73A2B" w:rsidRDefault="00A25CF8">
      <w:pPr>
        <w:numPr>
          <w:ilvl w:val="0"/>
          <w:numId w:val="13"/>
        </w:numPr>
        <w:tabs>
          <w:tab w:val="left" w:pos="198"/>
        </w:tabs>
        <w:spacing w:line="194" w:lineRule="auto"/>
        <w:ind w:left="280" w:right="3880" w:hanging="280"/>
        <w:rPr>
          <w:rFonts w:ascii="Arial" w:eastAsia="Arial" w:hAnsi="Arial"/>
          <w:sz w:val="26"/>
          <w:szCs w:val="26"/>
          <w:vertAlign w:val="superscript"/>
        </w:rPr>
      </w:pPr>
      <w:r>
        <w:rPr>
          <w:rFonts w:ascii="Times New Roman" w:eastAsia="Times New Roman" w:hAnsi="Times New Roman" w:cs="Times New Roman"/>
          <w:sz w:val="18"/>
          <w:szCs w:val="18"/>
        </w:rPr>
        <w:t>CDC. CDC Health Disparities and Inequalities Report. 2011. Accessed at https://www.cdc.gov/minorityhealth/chdi</w:t>
      </w:r>
      <w:r>
        <w:rPr>
          <w:rFonts w:ascii="Times New Roman" w:eastAsia="Times New Roman" w:hAnsi="Times New Roman" w:cs="Times New Roman"/>
          <w:sz w:val="18"/>
          <w:szCs w:val="18"/>
        </w:rPr>
        <w:t>r/2011/chdir2011.html.</w:t>
      </w:r>
    </w:p>
    <w:p w14:paraId="0000006A" w14:textId="77777777" w:rsidR="00E73A2B" w:rsidRDefault="00E73A2B">
      <w:pPr>
        <w:spacing w:line="107" w:lineRule="auto"/>
        <w:rPr>
          <w:rFonts w:ascii="Arial" w:eastAsia="Arial" w:hAnsi="Arial"/>
          <w:sz w:val="26"/>
          <w:szCs w:val="26"/>
          <w:vertAlign w:val="superscript"/>
        </w:rPr>
      </w:pPr>
    </w:p>
    <w:p w14:paraId="0000006B" w14:textId="77777777" w:rsidR="00E73A2B" w:rsidRDefault="00A25CF8">
      <w:pPr>
        <w:numPr>
          <w:ilvl w:val="0"/>
          <w:numId w:val="13"/>
        </w:numPr>
        <w:tabs>
          <w:tab w:val="left" w:pos="198"/>
        </w:tabs>
        <w:spacing w:line="194" w:lineRule="auto"/>
        <w:ind w:left="280" w:right="3880" w:hanging="280"/>
        <w:rPr>
          <w:rFonts w:ascii="Arial" w:eastAsia="Arial" w:hAnsi="Arial"/>
          <w:sz w:val="26"/>
          <w:szCs w:val="26"/>
          <w:vertAlign w:val="superscript"/>
        </w:rPr>
      </w:pPr>
      <w:r>
        <w:rPr>
          <w:rFonts w:ascii="Times New Roman" w:eastAsia="Times New Roman" w:hAnsi="Times New Roman" w:cs="Times New Roman"/>
          <w:sz w:val="18"/>
          <w:szCs w:val="18"/>
        </w:rPr>
        <w:t>CDC. CDC Health Disparities and Inequalities Report. 2011. Accessed at https://www.cdc.gov/minorityhealth/chdir/2011/chdir2011.html.</w:t>
      </w:r>
    </w:p>
    <w:p w14:paraId="0000006C" w14:textId="77777777" w:rsidR="00E73A2B" w:rsidRDefault="00E73A2B">
      <w:pPr>
        <w:spacing w:line="109" w:lineRule="auto"/>
        <w:rPr>
          <w:rFonts w:ascii="Arial" w:eastAsia="Arial" w:hAnsi="Arial"/>
          <w:sz w:val="26"/>
          <w:szCs w:val="26"/>
          <w:vertAlign w:val="superscript"/>
        </w:rPr>
      </w:pPr>
    </w:p>
    <w:p w14:paraId="0000006D" w14:textId="77777777" w:rsidR="00E73A2B" w:rsidRDefault="00A25CF8">
      <w:pPr>
        <w:numPr>
          <w:ilvl w:val="0"/>
          <w:numId w:val="13"/>
        </w:numPr>
        <w:tabs>
          <w:tab w:val="left" w:pos="198"/>
        </w:tabs>
        <w:spacing w:line="194" w:lineRule="auto"/>
        <w:ind w:left="280" w:right="760" w:hanging="280"/>
        <w:rPr>
          <w:rFonts w:ascii="Arial" w:eastAsia="Arial" w:hAnsi="Arial"/>
          <w:sz w:val="26"/>
          <w:szCs w:val="26"/>
          <w:vertAlign w:val="superscript"/>
        </w:rPr>
      </w:pPr>
      <w:r>
        <w:rPr>
          <w:rFonts w:ascii="Times New Roman" w:eastAsia="Times New Roman" w:hAnsi="Times New Roman" w:cs="Times New Roman"/>
          <w:sz w:val="18"/>
          <w:szCs w:val="18"/>
        </w:rPr>
        <w:t>US. EPA. Integrated Science Assessment (ISA) for Particulate Matter (Final Report, Dec 2019). U.S.</w:t>
      </w:r>
      <w:r>
        <w:rPr>
          <w:rFonts w:ascii="Times New Roman" w:eastAsia="Times New Roman" w:hAnsi="Times New Roman" w:cs="Times New Roman"/>
          <w:sz w:val="18"/>
          <w:szCs w:val="18"/>
        </w:rPr>
        <w:t xml:space="preserve"> Environmental Protection Agency, Washington, DC, EPA/600/R-19/188, 2019.</w:t>
      </w:r>
    </w:p>
    <w:p w14:paraId="0000006E" w14:textId="77777777" w:rsidR="00E73A2B" w:rsidRDefault="00E73A2B">
      <w:pPr>
        <w:spacing w:line="107" w:lineRule="auto"/>
        <w:rPr>
          <w:rFonts w:ascii="Arial" w:eastAsia="Arial" w:hAnsi="Arial"/>
          <w:sz w:val="26"/>
          <w:szCs w:val="26"/>
          <w:vertAlign w:val="superscript"/>
        </w:rPr>
      </w:pPr>
    </w:p>
    <w:p w14:paraId="0000006F" w14:textId="77777777" w:rsidR="00E73A2B" w:rsidRDefault="00A25CF8">
      <w:pPr>
        <w:numPr>
          <w:ilvl w:val="0"/>
          <w:numId w:val="13"/>
        </w:numPr>
        <w:tabs>
          <w:tab w:val="left" w:pos="198"/>
        </w:tabs>
        <w:spacing w:line="194" w:lineRule="auto"/>
        <w:ind w:left="280" w:right="740" w:hanging="280"/>
        <w:rPr>
          <w:rFonts w:ascii="Arial" w:eastAsia="Arial" w:hAnsi="Arial"/>
          <w:sz w:val="26"/>
          <w:szCs w:val="26"/>
          <w:vertAlign w:val="superscript"/>
        </w:rPr>
      </w:pPr>
      <w:r>
        <w:rPr>
          <w:rFonts w:ascii="Times New Roman" w:eastAsia="Times New Roman" w:hAnsi="Times New Roman" w:cs="Times New Roman"/>
          <w:sz w:val="18"/>
          <w:szCs w:val="18"/>
        </w:rPr>
        <w:t>Guarnieri M, Balmes JR. Outdoor air pollution and asthma. Lancet. 2014;383(9928):1581-1592. doi:10.1016/S0140-6736(14)60617-6.</w:t>
      </w:r>
    </w:p>
    <w:p w14:paraId="00000070" w14:textId="77777777" w:rsidR="00E73A2B" w:rsidRDefault="00E73A2B">
      <w:pPr>
        <w:spacing w:line="14" w:lineRule="auto"/>
        <w:rPr>
          <w:rFonts w:ascii="Arial" w:eastAsia="Arial" w:hAnsi="Arial"/>
          <w:sz w:val="26"/>
          <w:szCs w:val="26"/>
          <w:vertAlign w:val="superscript"/>
        </w:rPr>
      </w:pPr>
    </w:p>
    <w:p w14:paraId="00000071" w14:textId="77777777" w:rsidR="00E73A2B" w:rsidRDefault="00A25CF8">
      <w:pPr>
        <w:numPr>
          <w:ilvl w:val="0"/>
          <w:numId w:val="13"/>
        </w:numPr>
        <w:tabs>
          <w:tab w:val="left" w:pos="200"/>
        </w:tabs>
        <w:ind w:left="200" w:hanging="200"/>
        <w:rPr>
          <w:rFonts w:ascii="Arial" w:eastAsia="Arial" w:hAnsi="Arial"/>
          <w:sz w:val="26"/>
          <w:szCs w:val="26"/>
          <w:vertAlign w:val="superscript"/>
        </w:rPr>
      </w:pPr>
      <w:r>
        <w:rPr>
          <w:rFonts w:ascii="Times New Roman" w:eastAsia="Times New Roman" w:hAnsi="Times New Roman" w:cs="Times New Roman"/>
          <w:sz w:val="18"/>
          <w:szCs w:val="18"/>
        </w:rPr>
        <w:t>EPA. 2004. Air Quality Criteria Document for Particulate Matter.</w:t>
      </w:r>
    </w:p>
    <w:p w14:paraId="00000072" w14:textId="77777777" w:rsidR="00E73A2B" w:rsidRDefault="00E73A2B">
      <w:pPr>
        <w:spacing w:line="112" w:lineRule="auto"/>
        <w:rPr>
          <w:rFonts w:ascii="Arial" w:eastAsia="Arial" w:hAnsi="Arial"/>
          <w:sz w:val="26"/>
          <w:szCs w:val="26"/>
          <w:vertAlign w:val="superscript"/>
        </w:rPr>
      </w:pPr>
    </w:p>
    <w:p w14:paraId="00000073" w14:textId="77777777" w:rsidR="00E73A2B" w:rsidRDefault="00A25CF8">
      <w:pPr>
        <w:numPr>
          <w:ilvl w:val="0"/>
          <w:numId w:val="13"/>
        </w:numPr>
        <w:tabs>
          <w:tab w:val="left" w:pos="198"/>
        </w:tabs>
        <w:spacing w:line="194" w:lineRule="auto"/>
        <w:ind w:left="280" w:right="160" w:hanging="280"/>
        <w:rPr>
          <w:rFonts w:ascii="Arial" w:eastAsia="Arial" w:hAnsi="Arial"/>
          <w:sz w:val="26"/>
          <w:szCs w:val="26"/>
          <w:vertAlign w:val="superscript"/>
        </w:rPr>
      </w:pPr>
      <w:r>
        <w:rPr>
          <w:rFonts w:ascii="Times New Roman" w:eastAsia="Times New Roman" w:hAnsi="Times New Roman" w:cs="Times New Roman"/>
          <w:sz w:val="18"/>
          <w:szCs w:val="18"/>
        </w:rPr>
        <w:t>Burnett, Richard, et al. “Global estimates of mortality associated with long-term exposure to outdoor fine particulate matter.” Proceedings of the National Academy of Sciences 115.38 (2018):</w:t>
      </w:r>
      <w:r>
        <w:rPr>
          <w:rFonts w:ascii="Times New Roman" w:eastAsia="Times New Roman" w:hAnsi="Times New Roman" w:cs="Times New Roman"/>
          <w:sz w:val="18"/>
          <w:szCs w:val="18"/>
        </w:rPr>
        <w:t xml:space="preserve"> 9592-9597.</w:t>
      </w:r>
    </w:p>
    <w:p w14:paraId="00000074" w14:textId="77777777" w:rsidR="00E73A2B" w:rsidRDefault="00E73A2B">
      <w:pPr>
        <w:spacing w:line="107" w:lineRule="auto"/>
        <w:rPr>
          <w:rFonts w:ascii="Arial" w:eastAsia="Arial" w:hAnsi="Arial"/>
          <w:sz w:val="26"/>
          <w:szCs w:val="26"/>
          <w:vertAlign w:val="superscript"/>
        </w:rPr>
      </w:pPr>
    </w:p>
    <w:p w14:paraId="00000075" w14:textId="77777777" w:rsidR="00E73A2B" w:rsidRDefault="00A25CF8">
      <w:pPr>
        <w:numPr>
          <w:ilvl w:val="0"/>
          <w:numId w:val="13"/>
        </w:numPr>
        <w:tabs>
          <w:tab w:val="left" w:pos="198"/>
        </w:tabs>
        <w:spacing w:line="194" w:lineRule="auto"/>
        <w:ind w:left="280" w:right="240" w:hanging="280"/>
        <w:rPr>
          <w:rFonts w:ascii="Arial" w:eastAsia="Arial" w:hAnsi="Arial"/>
          <w:sz w:val="26"/>
          <w:szCs w:val="26"/>
          <w:vertAlign w:val="superscript"/>
        </w:rPr>
      </w:pPr>
      <w:r>
        <w:rPr>
          <w:rFonts w:ascii="Times New Roman" w:eastAsia="Times New Roman" w:hAnsi="Times New Roman" w:cs="Times New Roman"/>
          <w:sz w:val="18"/>
          <w:szCs w:val="18"/>
        </w:rPr>
        <w:t>Samet, M., Jonathan. The National Morbidity, Mortality, and Air Pollution Study. Part II: Morbidity and Mortality from Air Pollution in the United States. Research Report Health Effects Institute. 2000. 94(pt 2):5-70, 71-79.</w:t>
      </w:r>
    </w:p>
    <w:p w14:paraId="00000076" w14:textId="77777777" w:rsidR="00E73A2B" w:rsidRDefault="00E73A2B">
      <w:pPr>
        <w:spacing w:line="109" w:lineRule="auto"/>
        <w:rPr>
          <w:rFonts w:ascii="Arial" w:eastAsia="Arial" w:hAnsi="Arial"/>
          <w:sz w:val="26"/>
          <w:szCs w:val="26"/>
          <w:vertAlign w:val="superscript"/>
        </w:rPr>
      </w:pPr>
    </w:p>
    <w:p w14:paraId="00000077" w14:textId="77777777" w:rsidR="00E73A2B" w:rsidRDefault="00A25CF8">
      <w:pPr>
        <w:numPr>
          <w:ilvl w:val="0"/>
          <w:numId w:val="13"/>
        </w:numPr>
        <w:tabs>
          <w:tab w:val="left" w:pos="198"/>
        </w:tabs>
        <w:spacing w:line="194" w:lineRule="auto"/>
        <w:ind w:left="280" w:right="500" w:hanging="280"/>
        <w:rPr>
          <w:rFonts w:ascii="Arial" w:eastAsia="Arial" w:hAnsi="Arial"/>
          <w:sz w:val="26"/>
          <w:szCs w:val="26"/>
          <w:vertAlign w:val="superscript"/>
        </w:rPr>
      </w:pPr>
      <w:r>
        <w:rPr>
          <w:rFonts w:ascii="Times New Roman" w:eastAsia="Times New Roman" w:hAnsi="Times New Roman" w:cs="Times New Roman"/>
          <w:sz w:val="18"/>
          <w:szCs w:val="18"/>
        </w:rPr>
        <w:t>Gauderman, W. James. Association between Air Pollution and Lung Function Growth in Southern California. American Journal of Respiratory Critical Care Medicine. 2000. 162(4Pt1):1383-1390.</w:t>
      </w:r>
    </w:p>
    <w:p w14:paraId="00000078" w14:textId="77777777" w:rsidR="00E73A2B" w:rsidRDefault="00E73A2B">
      <w:pPr>
        <w:spacing w:line="107" w:lineRule="auto"/>
        <w:rPr>
          <w:rFonts w:ascii="Arial" w:eastAsia="Arial" w:hAnsi="Arial"/>
          <w:sz w:val="26"/>
          <w:szCs w:val="26"/>
          <w:vertAlign w:val="superscript"/>
        </w:rPr>
      </w:pPr>
    </w:p>
    <w:p w14:paraId="00000079" w14:textId="77777777" w:rsidR="00E73A2B" w:rsidRDefault="00A25CF8">
      <w:pPr>
        <w:numPr>
          <w:ilvl w:val="0"/>
          <w:numId w:val="13"/>
        </w:numPr>
        <w:tabs>
          <w:tab w:val="left" w:pos="198"/>
        </w:tabs>
        <w:spacing w:line="194" w:lineRule="auto"/>
        <w:ind w:left="280" w:right="120" w:hanging="280"/>
        <w:rPr>
          <w:rFonts w:ascii="Arial" w:eastAsia="Arial" w:hAnsi="Arial"/>
          <w:sz w:val="26"/>
          <w:szCs w:val="26"/>
          <w:vertAlign w:val="superscript"/>
        </w:rPr>
      </w:pPr>
      <w:r>
        <w:rPr>
          <w:rFonts w:ascii="Times New Roman" w:eastAsia="Times New Roman" w:hAnsi="Times New Roman" w:cs="Times New Roman"/>
          <w:sz w:val="18"/>
          <w:szCs w:val="18"/>
        </w:rPr>
        <w:t>Lin, Shao, Fitzgerald, Edward, Hwang, Syni-An. Asthma Hospitalizatio</w:t>
      </w:r>
      <w:r>
        <w:rPr>
          <w:rFonts w:ascii="Times New Roman" w:eastAsia="Times New Roman" w:hAnsi="Times New Roman" w:cs="Times New Roman"/>
          <w:sz w:val="18"/>
          <w:szCs w:val="18"/>
        </w:rPr>
        <w:t>n Rates and Socioeconomic Status in New York State 1987-1993. Journal of Asthma. 2002. 36:239-251.</w:t>
      </w:r>
    </w:p>
    <w:p w14:paraId="0000007A" w14:textId="77777777" w:rsidR="00E73A2B" w:rsidRDefault="00E73A2B">
      <w:pPr>
        <w:spacing w:line="14" w:lineRule="auto"/>
        <w:rPr>
          <w:rFonts w:ascii="Arial" w:eastAsia="Arial" w:hAnsi="Arial"/>
          <w:sz w:val="26"/>
          <w:szCs w:val="26"/>
          <w:vertAlign w:val="superscript"/>
        </w:rPr>
      </w:pPr>
    </w:p>
    <w:p w14:paraId="0000007B" w14:textId="77777777" w:rsidR="00E73A2B" w:rsidRDefault="00A25CF8">
      <w:pPr>
        <w:numPr>
          <w:ilvl w:val="0"/>
          <w:numId w:val="13"/>
        </w:numPr>
        <w:tabs>
          <w:tab w:val="left" w:pos="200"/>
        </w:tabs>
        <w:ind w:left="200" w:hanging="200"/>
        <w:rPr>
          <w:rFonts w:ascii="Arial" w:eastAsia="Arial" w:hAnsi="Arial"/>
          <w:sz w:val="26"/>
          <w:szCs w:val="26"/>
          <w:vertAlign w:val="superscript"/>
        </w:rPr>
      </w:pPr>
      <w:r>
        <w:rPr>
          <w:rFonts w:ascii="Times New Roman" w:eastAsia="Times New Roman" w:hAnsi="Times New Roman" w:cs="Times New Roman"/>
          <w:sz w:val="18"/>
          <w:szCs w:val="18"/>
        </w:rPr>
        <w:t>DOH. New York State Asthma Surveillance Summary Report. 2013. Accessed at</w:t>
      </w:r>
    </w:p>
    <w:p w14:paraId="0000007C" w14:textId="77777777" w:rsidR="00E73A2B" w:rsidRDefault="00E73A2B">
      <w:pPr>
        <w:spacing w:line="14" w:lineRule="auto"/>
        <w:rPr>
          <w:rFonts w:ascii="Times New Roman" w:eastAsia="Times New Roman" w:hAnsi="Times New Roman" w:cs="Times New Roman"/>
        </w:rPr>
      </w:pPr>
    </w:p>
    <w:p w14:paraId="0000007D" w14:textId="77777777" w:rsidR="00E73A2B" w:rsidRDefault="00A25CF8">
      <w:pPr>
        <w:ind w:left="280"/>
        <w:rPr>
          <w:rFonts w:ascii="Times New Roman" w:eastAsia="Times New Roman" w:hAnsi="Times New Roman" w:cs="Times New Roman"/>
          <w:sz w:val="18"/>
          <w:szCs w:val="18"/>
        </w:rPr>
      </w:pPr>
      <w:r>
        <w:rPr>
          <w:rFonts w:ascii="Times New Roman" w:eastAsia="Times New Roman" w:hAnsi="Times New Roman" w:cs="Times New Roman"/>
          <w:sz w:val="18"/>
          <w:szCs w:val="18"/>
        </w:rPr>
        <w:t>https://www.health.ny.gov/statistics/ny_asthma/pdf/2013_asthma_surveillance_summa</w:t>
      </w:r>
      <w:r>
        <w:rPr>
          <w:rFonts w:ascii="Times New Roman" w:eastAsia="Times New Roman" w:hAnsi="Times New Roman" w:cs="Times New Roman"/>
          <w:sz w:val="18"/>
          <w:szCs w:val="18"/>
        </w:rPr>
        <w:t>ry_report.pdf.</w:t>
      </w:r>
    </w:p>
    <w:p w14:paraId="0000007E" w14:textId="77777777" w:rsidR="00E73A2B" w:rsidRDefault="00E73A2B">
      <w:pPr>
        <w:spacing w:line="374" w:lineRule="auto"/>
        <w:rPr>
          <w:rFonts w:ascii="Times New Roman" w:eastAsia="Times New Roman" w:hAnsi="Times New Roman" w:cs="Times New Roman"/>
        </w:rPr>
      </w:pPr>
    </w:p>
    <w:tbl>
      <w:tblPr>
        <w:tblStyle w:val="af2"/>
        <w:tblW w:w="9360" w:type="dxa"/>
        <w:tblLayout w:type="fixed"/>
        <w:tblLook w:val="0000" w:firstRow="0" w:lastRow="0" w:firstColumn="0" w:lastColumn="0" w:noHBand="0" w:noVBand="0"/>
      </w:tblPr>
      <w:tblGrid>
        <w:gridCol w:w="5460"/>
        <w:gridCol w:w="3900"/>
      </w:tblGrid>
      <w:tr w:rsidR="00E73A2B" w14:paraId="711A5E74" w14:textId="77777777">
        <w:trPr>
          <w:trHeight w:val="184"/>
        </w:trPr>
        <w:tc>
          <w:tcPr>
            <w:tcW w:w="5460" w:type="dxa"/>
            <w:shd w:val="clear" w:color="auto" w:fill="auto"/>
            <w:vAlign w:val="bottom"/>
          </w:tcPr>
          <w:p w14:paraId="0000007F" w14:textId="77777777" w:rsidR="00E73A2B" w:rsidRDefault="00A25CF8">
            <w:pPr>
              <w:rPr>
                <w:rFonts w:ascii="Arial" w:eastAsia="Arial" w:hAnsi="Arial"/>
                <w:sz w:val="16"/>
                <w:szCs w:val="16"/>
              </w:rPr>
            </w:pPr>
            <w:hyperlink w:anchor="bookmark=id.44sinio">
              <w:r>
                <w:rPr>
                  <w:rFonts w:ascii="Arial" w:eastAsia="Arial" w:hAnsi="Arial"/>
                  <w:sz w:val="16"/>
                  <w:szCs w:val="16"/>
                </w:rPr>
                <w:t>Chapter 8. Public Health</w:t>
              </w:r>
            </w:hyperlink>
          </w:p>
        </w:tc>
        <w:tc>
          <w:tcPr>
            <w:tcW w:w="3900" w:type="dxa"/>
            <w:shd w:val="clear" w:color="auto" w:fill="auto"/>
            <w:vAlign w:val="bottom"/>
          </w:tcPr>
          <w:p w14:paraId="00000080" w14:textId="77777777" w:rsidR="00E73A2B" w:rsidRDefault="00A25CF8">
            <w:pPr>
              <w:jc w:val="right"/>
              <w:rPr>
                <w:rFonts w:ascii="Arial" w:eastAsia="Arial" w:hAnsi="Arial"/>
                <w:sz w:val="16"/>
                <w:szCs w:val="16"/>
              </w:rPr>
            </w:pPr>
            <w:r>
              <w:rPr>
                <w:rFonts w:ascii="Arial" w:eastAsia="Arial" w:hAnsi="Arial"/>
                <w:sz w:val="16"/>
                <w:szCs w:val="16"/>
              </w:rPr>
              <w:t>55</w:t>
            </w:r>
          </w:p>
        </w:tc>
      </w:tr>
    </w:tbl>
    <w:p w14:paraId="00000081" w14:textId="77777777" w:rsidR="00E73A2B" w:rsidRDefault="00E73A2B">
      <w:pPr>
        <w:rPr>
          <w:rFonts w:ascii="Arial" w:eastAsia="Arial" w:hAnsi="Arial"/>
          <w:sz w:val="16"/>
          <w:szCs w:val="16"/>
        </w:rPr>
        <w:sectPr w:rsidR="00E73A2B">
          <w:pgSz w:w="12240" w:h="15840"/>
          <w:pgMar w:top="1440" w:right="1440" w:bottom="395" w:left="1440" w:header="0" w:footer="0" w:gutter="0"/>
          <w:cols w:space="720"/>
        </w:sectPr>
      </w:pPr>
    </w:p>
    <w:p w14:paraId="00000082" w14:textId="77777777" w:rsidR="00E73A2B" w:rsidRDefault="00E73A2B">
      <w:pPr>
        <w:spacing w:line="14" w:lineRule="auto"/>
        <w:rPr>
          <w:rFonts w:ascii="Times New Roman" w:eastAsia="Times New Roman" w:hAnsi="Times New Roman" w:cs="Times New Roman"/>
        </w:rPr>
      </w:pPr>
      <w:bookmarkStart w:id="5" w:name="bookmark=id.1fob9te" w:colFirst="0" w:colLast="0"/>
      <w:bookmarkEnd w:id="5"/>
    </w:p>
    <w:p w14:paraId="00000083" w14:textId="77777777" w:rsidR="00E73A2B" w:rsidRDefault="00A25CF8">
      <w:pPr>
        <w:spacing w:line="349" w:lineRule="auto"/>
        <w:ind w:right="560"/>
        <w:rPr>
          <w:rFonts w:ascii="Times New Roman" w:eastAsia="Times New Roman" w:hAnsi="Times New Roman" w:cs="Times New Roman"/>
          <w:sz w:val="22"/>
          <w:szCs w:val="22"/>
        </w:rPr>
      </w:pPr>
      <w:r>
        <w:rPr>
          <w:rFonts w:ascii="Times New Roman" w:eastAsia="Times New Roman" w:hAnsi="Times New Roman" w:cs="Times New Roman"/>
          <w:sz w:val="22"/>
          <w:szCs w:val="22"/>
        </w:rPr>
        <w:t>non-Hispanic Black and Hispanic New Yorkers than non-Hispanic White.</w:t>
      </w:r>
      <w:r>
        <w:rPr>
          <w:rFonts w:ascii="Arial" w:eastAsia="Arial" w:hAnsi="Arial"/>
          <w:sz w:val="12"/>
          <w:szCs w:val="12"/>
        </w:rPr>
        <w:t>83</w:t>
      </w:r>
      <w:r>
        <w:rPr>
          <w:rFonts w:ascii="Times New Roman" w:eastAsia="Times New Roman" w:hAnsi="Times New Roman" w:cs="Times New Roman"/>
          <w:sz w:val="22"/>
          <w:szCs w:val="22"/>
        </w:rPr>
        <w:t xml:space="preserve"> For more detail, see the Appendix F.</w:t>
      </w:r>
    </w:p>
    <w:p w14:paraId="00000084" w14:textId="77777777" w:rsidR="00E73A2B" w:rsidRDefault="00E73A2B">
      <w:pPr>
        <w:spacing w:line="383" w:lineRule="auto"/>
        <w:rPr>
          <w:rFonts w:ascii="Times New Roman" w:eastAsia="Times New Roman" w:hAnsi="Times New Roman" w:cs="Times New Roman"/>
        </w:rPr>
      </w:pPr>
    </w:p>
    <w:p w14:paraId="00000085" w14:textId="77777777" w:rsidR="00E73A2B" w:rsidRDefault="00A25CF8">
      <w:pPr>
        <w:spacing w:line="359" w:lineRule="auto"/>
        <w:ind w:right="80"/>
        <w:rPr>
          <w:rFonts w:ascii="Times New Roman" w:eastAsia="Times New Roman" w:hAnsi="Times New Roman" w:cs="Times New Roman"/>
          <w:sz w:val="22"/>
          <w:szCs w:val="22"/>
        </w:rPr>
      </w:pPr>
      <w:r>
        <w:rPr>
          <w:rFonts w:ascii="Times New Roman" w:eastAsia="Times New Roman" w:hAnsi="Times New Roman" w:cs="Times New Roman"/>
          <w:sz w:val="22"/>
          <w:szCs w:val="22"/>
        </w:rPr>
        <w:t>Climate change mitigation and adaptation policies are crucial in reducing the public health impacts described above, particularly for vulnerable communities and Disadvantaged Communities, such as those that can be identified by the Centers for Disease Cont</w:t>
      </w:r>
      <w:r>
        <w:rPr>
          <w:rFonts w:ascii="Times New Roman" w:eastAsia="Times New Roman" w:hAnsi="Times New Roman" w:cs="Times New Roman"/>
          <w:sz w:val="22"/>
          <w:szCs w:val="22"/>
        </w:rPr>
        <w:t>rol and Prevention/Agency for Toxic Substances and Disease Registry Social Vulnerability Index. DOH has worked to support public health adaptation efforts. For example, DOH’s scientific research on the health effects associated with heat contributed to the</w:t>
      </w:r>
      <w:r>
        <w:rPr>
          <w:rFonts w:ascii="Times New Roman" w:eastAsia="Times New Roman" w:hAnsi="Times New Roman" w:cs="Times New Roman"/>
          <w:sz w:val="22"/>
          <w:szCs w:val="22"/>
        </w:rPr>
        <w:t xml:space="preserve"> National Weather Service lowering its Heat Advisory Threshold and led to the development of County Heat and Health Profiles, where users can view county temperature trends and projections, along with heat-related health effects and vulnerabilities.</w:t>
      </w:r>
      <w:r>
        <w:rPr>
          <w:rFonts w:ascii="Arial" w:eastAsia="Arial" w:hAnsi="Arial"/>
          <w:sz w:val="12"/>
          <w:szCs w:val="12"/>
        </w:rPr>
        <w:t>84</w:t>
      </w:r>
      <w:r>
        <w:rPr>
          <w:rFonts w:ascii="Times New Roman" w:eastAsia="Times New Roman" w:hAnsi="Times New Roman" w:cs="Times New Roman"/>
          <w:sz w:val="22"/>
          <w:szCs w:val="22"/>
        </w:rPr>
        <w:t xml:space="preserve"> DOH </w:t>
      </w:r>
      <w:r>
        <w:rPr>
          <w:rFonts w:ascii="Times New Roman" w:eastAsia="Times New Roman" w:hAnsi="Times New Roman" w:cs="Times New Roman"/>
          <w:sz w:val="22"/>
          <w:szCs w:val="22"/>
        </w:rPr>
        <w:t>staff have worked with local partners to enhance awareness and accessibility to cooling centers during heat advisories.</w:t>
      </w:r>
      <w:r>
        <w:rPr>
          <w:rFonts w:ascii="Arial" w:eastAsia="Arial" w:hAnsi="Arial"/>
          <w:sz w:val="12"/>
          <w:szCs w:val="12"/>
        </w:rPr>
        <w:t>85</w:t>
      </w:r>
      <w:r>
        <w:rPr>
          <w:rFonts w:ascii="Times New Roman" w:eastAsia="Times New Roman" w:hAnsi="Times New Roman" w:cs="Times New Roman"/>
          <w:sz w:val="22"/>
          <w:szCs w:val="22"/>
        </w:rPr>
        <w:t xml:space="preserve"> DOH also identified populations that are vulnerable to extreme heat by developing a Heat Vulnerability Index. Studies have sought to i</w:t>
      </w:r>
      <w:r>
        <w:rPr>
          <w:rFonts w:ascii="Times New Roman" w:eastAsia="Times New Roman" w:hAnsi="Times New Roman" w:cs="Times New Roman"/>
          <w:sz w:val="22"/>
          <w:szCs w:val="22"/>
        </w:rPr>
        <w:t>ncrease awareness about climate impacts on health in New York,</w:t>
      </w:r>
      <w:r>
        <w:rPr>
          <w:rFonts w:ascii="Arial" w:eastAsia="Arial" w:hAnsi="Arial"/>
          <w:sz w:val="12"/>
          <w:szCs w:val="12"/>
        </w:rPr>
        <w:t>86</w:t>
      </w:r>
      <w:r>
        <w:rPr>
          <w:rFonts w:ascii="Times New Roman" w:eastAsia="Times New Roman" w:hAnsi="Times New Roman" w:cs="Times New Roman"/>
          <w:sz w:val="22"/>
          <w:szCs w:val="22"/>
        </w:rPr>
        <w:t xml:space="preserve"> and have explored associations between temperature and respiratory outcomes, cardiovascular outcomes, renal diseases, and birth defects. Additional studies have explored climate change trends</w:t>
      </w:r>
      <w:r>
        <w:rPr>
          <w:rFonts w:ascii="Times New Roman" w:eastAsia="Times New Roman" w:hAnsi="Times New Roman" w:cs="Times New Roman"/>
          <w:sz w:val="22"/>
          <w:szCs w:val="22"/>
        </w:rPr>
        <w:t xml:space="preserve"> in New York, impacts of air pollutants on health (which could assist in understanding co-benefits to improved air quality through climate policy), and impacts of specific events that could stem from extreme weather. The State could conduct additional stud</w:t>
      </w:r>
      <w:r>
        <w:rPr>
          <w:rFonts w:ascii="Times New Roman" w:eastAsia="Times New Roman" w:hAnsi="Times New Roman" w:cs="Times New Roman"/>
          <w:sz w:val="22"/>
          <w:szCs w:val="22"/>
        </w:rPr>
        <w:t>ies to continue to increase its understanding of the health impacts of climate change and the health benefits of climate policy.</w:t>
      </w:r>
    </w:p>
    <w:p w14:paraId="00000086" w14:textId="77777777" w:rsidR="00E73A2B" w:rsidRDefault="00E73A2B">
      <w:pPr>
        <w:spacing w:line="366" w:lineRule="auto"/>
        <w:rPr>
          <w:rFonts w:ascii="Times New Roman" w:eastAsia="Times New Roman" w:hAnsi="Times New Roman" w:cs="Times New Roman"/>
        </w:rPr>
      </w:pPr>
    </w:p>
    <w:p w14:paraId="00000087" w14:textId="77777777" w:rsidR="00E73A2B" w:rsidRDefault="00A25CF8">
      <w:pPr>
        <w:rPr>
          <w:rFonts w:ascii="Arial" w:eastAsia="Arial" w:hAnsi="Arial"/>
          <w:b/>
          <w:sz w:val="28"/>
          <w:szCs w:val="28"/>
        </w:rPr>
      </w:pPr>
      <w:r>
        <w:rPr>
          <w:rFonts w:ascii="Arial" w:eastAsia="Arial" w:hAnsi="Arial"/>
          <w:b/>
          <w:sz w:val="28"/>
          <w:szCs w:val="28"/>
        </w:rPr>
        <w:t>8.2 Considering Health in Climate Policy</w:t>
      </w:r>
    </w:p>
    <w:p w14:paraId="00000088" w14:textId="77777777" w:rsidR="00E73A2B" w:rsidRDefault="00E73A2B">
      <w:pPr>
        <w:spacing w:line="72" w:lineRule="auto"/>
        <w:rPr>
          <w:rFonts w:ascii="Times New Roman" w:eastAsia="Times New Roman" w:hAnsi="Times New Roman" w:cs="Times New Roman"/>
        </w:rPr>
      </w:pPr>
    </w:p>
    <w:p w14:paraId="00000089" w14:textId="77777777" w:rsidR="00E73A2B" w:rsidRDefault="00A25CF8">
      <w:pPr>
        <w:spacing w:line="376" w:lineRule="auto"/>
        <w:ind w:right="240"/>
        <w:rPr>
          <w:rFonts w:ascii="Times New Roman" w:eastAsia="Times New Roman" w:hAnsi="Times New Roman" w:cs="Times New Roman"/>
          <w:sz w:val="21"/>
          <w:szCs w:val="21"/>
        </w:rPr>
      </w:pPr>
      <w:r>
        <w:rPr>
          <w:rFonts w:ascii="Times New Roman" w:eastAsia="Times New Roman" w:hAnsi="Times New Roman" w:cs="Times New Roman"/>
          <w:sz w:val="21"/>
          <w:szCs w:val="21"/>
        </w:rPr>
        <w:t>The development of sound policy to mitigate GHG emissions and adapt to the changing climate will provide direct and indirect public health benefits. Direct benefits will result from mitigating GHG emissions and adapting to global climate change by reducing</w:t>
      </w:r>
      <w:r>
        <w:rPr>
          <w:rFonts w:ascii="Times New Roman" w:eastAsia="Times New Roman" w:hAnsi="Times New Roman" w:cs="Times New Roman"/>
          <w:sz w:val="21"/>
          <w:szCs w:val="21"/>
        </w:rPr>
        <w:t xml:space="preserve"> the many public health impacts associated</w:t>
      </w:r>
    </w:p>
    <w:p w14:paraId="0000008A" w14:textId="77777777" w:rsidR="00E73A2B" w:rsidRDefault="00A25CF8">
      <w:pPr>
        <w:spacing w:line="20" w:lineRule="auto"/>
        <w:rPr>
          <w:rFonts w:ascii="Times New Roman" w:eastAsia="Times New Roman" w:hAnsi="Times New Roman" w:cs="Times New Roman"/>
        </w:rPr>
      </w:pPr>
      <w:r>
        <w:rPr>
          <w:noProof/>
        </w:rPr>
        <mc:AlternateContent>
          <mc:Choice Requires="wpg">
            <w:drawing>
              <wp:anchor distT="0" distB="0" distL="0" distR="0" simplePos="0" relativeHeight="251661312" behindDoc="1" locked="0" layoutInCell="1" hidden="0" allowOverlap="1">
                <wp:simplePos x="0" y="0"/>
                <wp:positionH relativeFrom="column">
                  <wp:posOffset>0</wp:posOffset>
                </wp:positionH>
                <wp:positionV relativeFrom="paragraph">
                  <wp:posOffset>152400</wp:posOffset>
                </wp:positionV>
                <wp:extent cx="1838325" cy="22225"/>
                <wp:effectExtent l="0" t="0" r="0" b="0"/>
                <wp:wrapNone/>
                <wp:docPr id="47" name=""/>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152400</wp:posOffset>
                </wp:positionV>
                <wp:extent cx="1838325" cy="22225"/>
                <wp:effectExtent b="0" l="0" r="0" t="0"/>
                <wp:wrapNone/>
                <wp:docPr id="47"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1838325" cy="22225"/>
                        </a:xfrm>
                        <a:prstGeom prst="rect"/>
                        <a:ln/>
                      </pic:spPr>
                    </pic:pic>
                  </a:graphicData>
                </a:graphic>
              </wp:anchor>
            </w:drawing>
          </mc:Fallback>
        </mc:AlternateContent>
      </w:r>
    </w:p>
    <w:p w14:paraId="0000008B" w14:textId="77777777" w:rsidR="00E73A2B" w:rsidRDefault="00E73A2B">
      <w:pPr>
        <w:spacing w:line="200" w:lineRule="auto"/>
        <w:rPr>
          <w:rFonts w:ascii="Times New Roman" w:eastAsia="Times New Roman" w:hAnsi="Times New Roman" w:cs="Times New Roman"/>
        </w:rPr>
      </w:pPr>
    </w:p>
    <w:p w14:paraId="0000008C" w14:textId="77777777" w:rsidR="00E73A2B" w:rsidRDefault="00E73A2B">
      <w:pPr>
        <w:spacing w:line="335" w:lineRule="auto"/>
        <w:rPr>
          <w:rFonts w:ascii="Times New Roman" w:eastAsia="Times New Roman" w:hAnsi="Times New Roman" w:cs="Times New Roman"/>
        </w:rPr>
      </w:pPr>
    </w:p>
    <w:p w14:paraId="0000008D" w14:textId="77777777" w:rsidR="00E73A2B" w:rsidRDefault="00A25CF8">
      <w:pPr>
        <w:numPr>
          <w:ilvl w:val="0"/>
          <w:numId w:val="14"/>
        </w:numPr>
        <w:tabs>
          <w:tab w:val="left" w:pos="198"/>
        </w:tabs>
        <w:spacing w:line="194" w:lineRule="auto"/>
        <w:ind w:left="280" w:right="120" w:hanging="280"/>
        <w:rPr>
          <w:rFonts w:ascii="Arial" w:eastAsia="Arial" w:hAnsi="Arial"/>
          <w:sz w:val="26"/>
          <w:szCs w:val="26"/>
          <w:vertAlign w:val="superscript"/>
        </w:rPr>
      </w:pPr>
      <w:r>
        <w:rPr>
          <w:rFonts w:ascii="Times New Roman" w:eastAsia="Times New Roman" w:hAnsi="Times New Roman" w:cs="Times New Roman"/>
          <w:sz w:val="18"/>
          <w:szCs w:val="18"/>
        </w:rPr>
        <w:t>Lin, Shao, Fitzgerald, Edward, Hwang, Syni-An. Asthma Hospitalization Rates and Socioeconomic Status in New York State 1987-1993. Journal of Asthma. 2002. 36:239-251.</w:t>
      </w:r>
    </w:p>
    <w:p w14:paraId="0000008E" w14:textId="77777777" w:rsidR="00E73A2B" w:rsidRDefault="00E73A2B">
      <w:pPr>
        <w:spacing w:line="107" w:lineRule="auto"/>
        <w:rPr>
          <w:rFonts w:ascii="Arial" w:eastAsia="Arial" w:hAnsi="Arial"/>
          <w:sz w:val="26"/>
          <w:szCs w:val="26"/>
          <w:vertAlign w:val="superscript"/>
        </w:rPr>
      </w:pPr>
    </w:p>
    <w:p w14:paraId="0000008F" w14:textId="77777777" w:rsidR="00E73A2B" w:rsidRDefault="00A25CF8">
      <w:pPr>
        <w:numPr>
          <w:ilvl w:val="0"/>
          <w:numId w:val="14"/>
        </w:numPr>
        <w:tabs>
          <w:tab w:val="left" w:pos="198"/>
        </w:tabs>
        <w:spacing w:line="208" w:lineRule="auto"/>
        <w:ind w:left="280" w:right="200" w:hanging="280"/>
        <w:rPr>
          <w:rFonts w:ascii="Arial" w:eastAsia="Arial" w:hAnsi="Arial"/>
          <w:sz w:val="26"/>
          <w:szCs w:val="26"/>
          <w:vertAlign w:val="superscript"/>
        </w:rPr>
      </w:pPr>
      <w:r>
        <w:rPr>
          <w:rFonts w:ascii="Times New Roman" w:eastAsia="Times New Roman" w:hAnsi="Times New Roman" w:cs="Times New Roman"/>
          <w:sz w:val="18"/>
          <w:szCs w:val="18"/>
        </w:rPr>
        <w:t>Chow NA, Toda M, Pennington AF, et al. Hurricane-Associated Mold Exposures Among Patients at Risk for Invasive Mold Infections After Hurricane Harvey - Houston, Texas, 2017. MMWR Morb Mortal Wkly Rep. 2019;68(21):469-473. Published 2019 May 31. doi:10.1558</w:t>
      </w:r>
      <w:r>
        <w:rPr>
          <w:rFonts w:ascii="Times New Roman" w:eastAsia="Times New Roman" w:hAnsi="Times New Roman" w:cs="Times New Roman"/>
          <w:sz w:val="18"/>
          <w:szCs w:val="18"/>
        </w:rPr>
        <w:t>5/mmwr.mm6821a1.</w:t>
      </w:r>
    </w:p>
    <w:p w14:paraId="00000090" w14:textId="77777777" w:rsidR="00E73A2B" w:rsidRDefault="00E73A2B">
      <w:pPr>
        <w:spacing w:line="88" w:lineRule="auto"/>
        <w:rPr>
          <w:rFonts w:ascii="Times New Roman" w:eastAsia="Times New Roman" w:hAnsi="Times New Roman" w:cs="Times New Roman"/>
        </w:rPr>
      </w:pPr>
    </w:p>
    <w:p w14:paraId="00000091" w14:textId="77777777" w:rsidR="00E73A2B" w:rsidRDefault="00A25CF8">
      <w:pPr>
        <w:spacing w:line="235" w:lineRule="auto"/>
        <w:ind w:left="280" w:right="60" w:hanging="270"/>
        <w:rPr>
          <w:rFonts w:ascii="Times New Roman" w:eastAsia="Times New Roman" w:hAnsi="Times New Roman" w:cs="Times New Roman"/>
          <w:sz w:val="18"/>
          <w:szCs w:val="18"/>
        </w:rPr>
      </w:pPr>
      <w:r>
        <w:rPr>
          <w:rFonts w:ascii="Times New Roman" w:eastAsia="Times New Roman" w:hAnsi="Times New Roman" w:cs="Times New Roman"/>
          <w:sz w:val="18"/>
          <w:szCs w:val="18"/>
        </w:rPr>
        <w:t>Nayak SG, Shrestha S, Kinney PL, Ross Z, Sheridan SC, Pantea CI, Hsu WH, Muscatiello N, Hwang SA. Development of a heat vulnerability index for New York State. Public Health. 161:127-137. 2018.</w:t>
      </w:r>
    </w:p>
    <w:p w14:paraId="00000092" w14:textId="77777777" w:rsidR="00E73A2B" w:rsidRDefault="00E73A2B">
      <w:pPr>
        <w:spacing w:line="108" w:lineRule="auto"/>
        <w:rPr>
          <w:rFonts w:ascii="Times New Roman" w:eastAsia="Times New Roman" w:hAnsi="Times New Roman" w:cs="Times New Roman"/>
        </w:rPr>
      </w:pPr>
    </w:p>
    <w:p w14:paraId="00000093" w14:textId="77777777" w:rsidR="00E73A2B" w:rsidRDefault="00A25CF8">
      <w:pPr>
        <w:numPr>
          <w:ilvl w:val="0"/>
          <w:numId w:val="1"/>
        </w:numPr>
        <w:tabs>
          <w:tab w:val="left" w:pos="198"/>
        </w:tabs>
        <w:spacing w:line="207" w:lineRule="auto"/>
        <w:ind w:left="280" w:right="220" w:hanging="280"/>
        <w:rPr>
          <w:rFonts w:ascii="Arial" w:eastAsia="Arial" w:hAnsi="Arial"/>
          <w:sz w:val="26"/>
          <w:szCs w:val="26"/>
          <w:vertAlign w:val="superscript"/>
        </w:rPr>
      </w:pPr>
      <w:r>
        <w:rPr>
          <w:rFonts w:ascii="Times New Roman" w:eastAsia="Times New Roman" w:hAnsi="Times New Roman" w:cs="Times New Roman"/>
          <w:sz w:val="18"/>
          <w:szCs w:val="18"/>
        </w:rPr>
        <w:t>Nayak, Seema G., Srishti Shrestha, Scott C.</w:t>
      </w:r>
      <w:r>
        <w:rPr>
          <w:rFonts w:ascii="Times New Roman" w:eastAsia="Times New Roman" w:hAnsi="Times New Roman" w:cs="Times New Roman"/>
          <w:sz w:val="18"/>
          <w:szCs w:val="18"/>
        </w:rPr>
        <w:t xml:space="preserve"> Sheridan, Wan-Hsiang Hsu, Neil A. Muscatiello, Cristian I. Pantea, Zev Ross et al. "Accessibility of cooling centers to heat-vulnerable populations in New York State." Journal of Transport &amp; Health 14 (2019): 100563.</w:t>
      </w:r>
    </w:p>
    <w:p w14:paraId="00000094" w14:textId="77777777" w:rsidR="00E73A2B" w:rsidRDefault="00E73A2B">
      <w:pPr>
        <w:spacing w:line="107" w:lineRule="auto"/>
        <w:rPr>
          <w:rFonts w:ascii="Arial" w:eastAsia="Arial" w:hAnsi="Arial"/>
          <w:sz w:val="26"/>
          <w:szCs w:val="26"/>
          <w:vertAlign w:val="superscript"/>
        </w:rPr>
      </w:pPr>
    </w:p>
    <w:p w14:paraId="00000095" w14:textId="77777777" w:rsidR="00E73A2B" w:rsidRDefault="00A25CF8">
      <w:pPr>
        <w:numPr>
          <w:ilvl w:val="0"/>
          <w:numId w:val="1"/>
        </w:numPr>
        <w:tabs>
          <w:tab w:val="left" w:pos="198"/>
        </w:tabs>
        <w:spacing w:line="194" w:lineRule="auto"/>
        <w:ind w:left="280" w:right="240" w:hanging="280"/>
        <w:rPr>
          <w:rFonts w:ascii="Arial" w:eastAsia="Arial" w:hAnsi="Arial"/>
          <w:sz w:val="26"/>
          <w:szCs w:val="26"/>
          <w:vertAlign w:val="superscript"/>
        </w:rPr>
      </w:pPr>
      <w:r>
        <w:rPr>
          <w:rFonts w:ascii="Times New Roman" w:eastAsia="Times New Roman" w:hAnsi="Times New Roman" w:cs="Times New Roman"/>
          <w:sz w:val="18"/>
          <w:szCs w:val="18"/>
        </w:rPr>
        <w:t xml:space="preserve">Insaf, T.Z., Lin, S., S.C. Sheridan. </w:t>
      </w:r>
      <w:r>
        <w:rPr>
          <w:rFonts w:ascii="Times New Roman" w:eastAsia="Times New Roman" w:hAnsi="Times New Roman" w:cs="Times New Roman"/>
          <w:sz w:val="18"/>
          <w:szCs w:val="18"/>
        </w:rPr>
        <w:t>Climate trends in indices for temperature and precipitation across New York State, 1948-2008. Air Quality, Atmosphere &amp; Health. 2013. 6(1): 247-257.</w:t>
      </w:r>
    </w:p>
    <w:p w14:paraId="00000096" w14:textId="77777777" w:rsidR="00E73A2B" w:rsidRDefault="00E73A2B">
      <w:pPr>
        <w:spacing w:line="375" w:lineRule="auto"/>
        <w:rPr>
          <w:rFonts w:ascii="Times New Roman" w:eastAsia="Times New Roman" w:hAnsi="Times New Roman" w:cs="Times New Roman"/>
        </w:rPr>
      </w:pPr>
    </w:p>
    <w:tbl>
      <w:tblPr>
        <w:tblStyle w:val="af3"/>
        <w:tblW w:w="9360" w:type="dxa"/>
        <w:tblLayout w:type="fixed"/>
        <w:tblLook w:val="0000" w:firstRow="0" w:lastRow="0" w:firstColumn="0" w:lastColumn="0" w:noHBand="0" w:noVBand="0"/>
      </w:tblPr>
      <w:tblGrid>
        <w:gridCol w:w="5460"/>
        <w:gridCol w:w="3900"/>
      </w:tblGrid>
      <w:tr w:rsidR="00E73A2B" w14:paraId="1BA679CF" w14:textId="77777777">
        <w:trPr>
          <w:trHeight w:val="184"/>
        </w:trPr>
        <w:tc>
          <w:tcPr>
            <w:tcW w:w="5460" w:type="dxa"/>
            <w:shd w:val="clear" w:color="auto" w:fill="auto"/>
            <w:vAlign w:val="bottom"/>
          </w:tcPr>
          <w:p w14:paraId="00000097" w14:textId="77777777" w:rsidR="00E73A2B" w:rsidRDefault="00A25CF8">
            <w:pPr>
              <w:rPr>
                <w:rFonts w:ascii="Arial" w:eastAsia="Arial" w:hAnsi="Arial"/>
                <w:sz w:val="16"/>
                <w:szCs w:val="16"/>
              </w:rPr>
            </w:pPr>
            <w:hyperlink w:anchor="bookmark=id.44sinio">
              <w:r>
                <w:rPr>
                  <w:rFonts w:ascii="Arial" w:eastAsia="Arial" w:hAnsi="Arial"/>
                  <w:sz w:val="16"/>
                  <w:szCs w:val="16"/>
                </w:rPr>
                <w:t>Chapter 8. Public Health</w:t>
              </w:r>
            </w:hyperlink>
          </w:p>
        </w:tc>
        <w:tc>
          <w:tcPr>
            <w:tcW w:w="3900" w:type="dxa"/>
            <w:shd w:val="clear" w:color="auto" w:fill="auto"/>
            <w:vAlign w:val="bottom"/>
          </w:tcPr>
          <w:p w14:paraId="00000098" w14:textId="77777777" w:rsidR="00E73A2B" w:rsidRDefault="00A25CF8">
            <w:pPr>
              <w:jc w:val="right"/>
              <w:rPr>
                <w:rFonts w:ascii="Arial" w:eastAsia="Arial" w:hAnsi="Arial"/>
                <w:sz w:val="16"/>
                <w:szCs w:val="16"/>
              </w:rPr>
            </w:pPr>
            <w:r>
              <w:rPr>
                <w:rFonts w:ascii="Arial" w:eastAsia="Arial" w:hAnsi="Arial"/>
                <w:sz w:val="16"/>
                <w:szCs w:val="16"/>
              </w:rPr>
              <w:t>56</w:t>
            </w:r>
          </w:p>
        </w:tc>
      </w:tr>
    </w:tbl>
    <w:p w14:paraId="00000099" w14:textId="77777777" w:rsidR="00E73A2B" w:rsidRDefault="00E73A2B">
      <w:pPr>
        <w:rPr>
          <w:rFonts w:ascii="Arial" w:eastAsia="Arial" w:hAnsi="Arial"/>
          <w:sz w:val="16"/>
          <w:szCs w:val="16"/>
        </w:rPr>
        <w:sectPr w:rsidR="00E73A2B">
          <w:pgSz w:w="12240" w:h="15840"/>
          <w:pgMar w:top="1440" w:right="1440" w:bottom="395" w:left="1440" w:header="0" w:footer="0" w:gutter="0"/>
          <w:cols w:space="720"/>
        </w:sectPr>
      </w:pPr>
    </w:p>
    <w:p w14:paraId="0000009A" w14:textId="77777777" w:rsidR="00E73A2B" w:rsidRDefault="00E73A2B">
      <w:pPr>
        <w:spacing w:line="14" w:lineRule="auto"/>
        <w:rPr>
          <w:rFonts w:ascii="Times New Roman" w:eastAsia="Times New Roman" w:hAnsi="Times New Roman" w:cs="Times New Roman"/>
        </w:rPr>
      </w:pPr>
      <w:bookmarkStart w:id="6" w:name="bookmark=id.3znysh7" w:colFirst="0" w:colLast="0"/>
      <w:bookmarkEnd w:id="6"/>
    </w:p>
    <w:p w14:paraId="0000009B" w14:textId="77777777" w:rsidR="00E73A2B" w:rsidRDefault="00A25CF8">
      <w:pPr>
        <w:spacing w:line="358" w:lineRule="auto"/>
        <w:ind w:right="20"/>
        <w:rPr>
          <w:rFonts w:ascii="Arial" w:eastAsia="Arial" w:hAnsi="Arial"/>
          <w:sz w:val="12"/>
          <w:szCs w:val="12"/>
        </w:rPr>
      </w:pPr>
      <w:r>
        <w:rPr>
          <w:rFonts w:ascii="Times New Roman" w:eastAsia="Times New Roman" w:hAnsi="Times New Roman" w:cs="Times New Roman"/>
          <w:sz w:val="22"/>
          <w:szCs w:val="22"/>
        </w:rPr>
        <w:t>with climate change. Indirect health benefits will occur when initiatives to mitigate GHG emissions also result in other beneficial outcomes such as reducing air pollutant emissions (co-pollutants), encouraging active transport (such as walking and cycling</w:t>
      </w:r>
      <w:r>
        <w:rPr>
          <w:rFonts w:ascii="Times New Roman" w:eastAsia="Times New Roman" w:hAnsi="Times New Roman" w:cs="Times New Roman"/>
          <w:sz w:val="22"/>
          <w:szCs w:val="22"/>
        </w:rPr>
        <w:t xml:space="preserve">), and reducing home health risks through building energy efficiency retrofit interventions. Improved air quality will reduce incidences of asthma and cardiovascular disease, and increased physical activity will reduce </w:t>
      </w:r>
      <w:sdt>
        <w:sdtPr>
          <w:tag w:val="goog_rdk_2"/>
          <w:id w:val="-1187594983"/>
        </w:sdtPr>
        <w:sdtEndPr/>
        <w:sdtContent>
          <w:commentRangeStart w:id="7"/>
        </w:sdtContent>
      </w:sdt>
      <w:r>
        <w:rPr>
          <w:rFonts w:ascii="Times New Roman" w:eastAsia="Times New Roman" w:hAnsi="Times New Roman" w:cs="Times New Roman"/>
          <w:sz w:val="22"/>
          <w:szCs w:val="22"/>
        </w:rPr>
        <w:t>obesity</w:t>
      </w:r>
      <w:commentRangeEnd w:id="7"/>
      <w:r>
        <w:commentReference w:id="7"/>
      </w:r>
      <w:r>
        <w:rPr>
          <w:rFonts w:ascii="Times New Roman" w:eastAsia="Times New Roman" w:hAnsi="Times New Roman" w:cs="Times New Roman"/>
          <w:sz w:val="22"/>
          <w:szCs w:val="22"/>
        </w:rPr>
        <w:t xml:space="preserve"> and negative cardiovascular outcomes. Cardiovascular disease is the leading cause of death nationally and in New York, with almost 44,000 New Yorkers dying of cardiovascular disease every year. Asthma is a major health problem nationally, and in New York </w:t>
      </w:r>
      <w:r>
        <w:rPr>
          <w:rFonts w:ascii="Times New Roman" w:eastAsia="Times New Roman" w:hAnsi="Times New Roman" w:cs="Times New Roman"/>
          <w:sz w:val="22"/>
          <w:szCs w:val="22"/>
        </w:rPr>
        <w:t>1.4 million adults and 315,000 children suffer from this disease.</w:t>
      </w:r>
      <w:r>
        <w:rPr>
          <w:rFonts w:ascii="Arial" w:eastAsia="Arial" w:hAnsi="Arial"/>
          <w:sz w:val="12"/>
          <w:szCs w:val="12"/>
        </w:rPr>
        <w:t>87</w:t>
      </w:r>
    </w:p>
    <w:p w14:paraId="0000009C" w14:textId="77777777" w:rsidR="00E73A2B" w:rsidRDefault="00E73A2B">
      <w:pPr>
        <w:spacing w:line="378" w:lineRule="auto"/>
        <w:rPr>
          <w:rFonts w:ascii="Times New Roman" w:eastAsia="Times New Roman" w:hAnsi="Times New Roman" w:cs="Times New Roman"/>
        </w:rPr>
      </w:pPr>
    </w:p>
    <w:p w14:paraId="0000009D" w14:textId="77777777" w:rsidR="00E73A2B" w:rsidRDefault="00A25CF8">
      <w:pPr>
        <w:spacing w:line="360" w:lineRule="auto"/>
        <w:rPr>
          <w:rFonts w:ascii="Arial" w:eastAsia="Arial" w:hAnsi="Arial"/>
          <w:sz w:val="12"/>
          <w:szCs w:val="12"/>
        </w:rPr>
      </w:pPr>
      <w:r>
        <w:rPr>
          <w:rFonts w:ascii="Times New Roman" w:eastAsia="Times New Roman" w:hAnsi="Times New Roman" w:cs="Times New Roman"/>
          <w:sz w:val="22"/>
          <w:szCs w:val="22"/>
        </w:rPr>
        <w:t>State and federal government programs to control air pollutant emissions through regulations and permitting have contributed to greatly improved air quality in New York over the last 40 y</w:t>
      </w:r>
      <w:r>
        <w:rPr>
          <w:rFonts w:ascii="Times New Roman" w:eastAsia="Times New Roman" w:hAnsi="Times New Roman" w:cs="Times New Roman"/>
          <w:sz w:val="22"/>
          <w:szCs w:val="22"/>
        </w:rPr>
        <w:t>ears (see Appendix F). Although the State currently complies with the requirements of, or is “designated attainment for,” the National Ambient Air Quality Standards for the criteria pollutants carbon monoxide, lead, nitrogen dioxide (NO</w:t>
      </w:r>
      <w:r>
        <w:rPr>
          <w:rFonts w:ascii="Times New Roman" w:eastAsia="Times New Roman" w:hAnsi="Times New Roman" w:cs="Times New Roman"/>
          <w:sz w:val="13"/>
          <w:szCs w:val="13"/>
        </w:rPr>
        <w:t>2</w:t>
      </w:r>
      <w:r>
        <w:rPr>
          <w:rFonts w:ascii="Times New Roman" w:eastAsia="Times New Roman" w:hAnsi="Times New Roman" w:cs="Times New Roman"/>
          <w:sz w:val="22"/>
          <w:szCs w:val="22"/>
        </w:rPr>
        <w:t>), and PM, substant</w:t>
      </w:r>
      <w:r>
        <w:rPr>
          <w:rFonts w:ascii="Times New Roman" w:eastAsia="Times New Roman" w:hAnsi="Times New Roman" w:cs="Times New Roman"/>
          <w:sz w:val="22"/>
          <w:szCs w:val="22"/>
        </w:rPr>
        <w:t>ial additional health benefits will be achieved through continued emission reductions. For SO</w:t>
      </w:r>
      <w:r>
        <w:rPr>
          <w:rFonts w:ascii="Times New Roman" w:eastAsia="Times New Roman" w:hAnsi="Times New Roman" w:cs="Times New Roman"/>
          <w:sz w:val="13"/>
          <w:szCs w:val="13"/>
        </w:rPr>
        <w:t>2</w:t>
      </w:r>
      <w:r>
        <w:rPr>
          <w:rFonts w:ascii="Times New Roman" w:eastAsia="Times New Roman" w:hAnsi="Times New Roman" w:cs="Times New Roman"/>
          <w:sz w:val="22"/>
          <w:szCs w:val="22"/>
        </w:rPr>
        <w:t xml:space="preserve">, a small portion of St. Lawrence County has been designated as nonattainment. Nine counties, in which 65% of the State’s population reside, are currently not in </w:t>
      </w:r>
      <w:r>
        <w:rPr>
          <w:rFonts w:ascii="Times New Roman" w:eastAsia="Times New Roman" w:hAnsi="Times New Roman" w:cs="Times New Roman"/>
          <w:sz w:val="22"/>
          <w:szCs w:val="22"/>
        </w:rPr>
        <w:t>attainment for the 2015 ozone standard. Concentrations of non-criteria pollutants attributed to fuel combustion have also decreased significantly over the last decade, due in part to programs and regulations directed at reducing transportation source pollu</w:t>
      </w:r>
      <w:r>
        <w:rPr>
          <w:rFonts w:ascii="Times New Roman" w:eastAsia="Times New Roman" w:hAnsi="Times New Roman" w:cs="Times New Roman"/>
          <w:sz w:val="22"/>
          <w:szCs w:val="22"/>
        </w:rPr>
        <w:t>tion, including the adoption of reformulated gasoline programs and improvements in vehicle emissions technology, the statewide adoption of the California Low Emission Vehicle program, and emission reductions from oil refineries and other stationary sources</w:t>
      </w:r>
      <w:r>
        <w:rPr>
          <w:rFonts w:ascii="Times New Roman" w:eastAsia="Times New Roman" w:hAnsi="Times New Roman" w:cs="Times New Roman"/>
          <w:sz w:val="22"/>
          <w:szCs w:val="22"/>
        </w:rPr>
        <w:t xml:space="preserve"> under federal and State air pollution control programs. Recent studies of long-term air quality trends in NYC demonstrate that enactment of local and regional clean air regulations, as well as changes in fuel usage (e.g., natural gas out-competing coal), </w:t>
      </w:r>
      <w:r>
        <w:rPr>
          <w:rFonts w:ascii="Times New Roman" w:eastAsia="Times New Roman" w:hAnsi="Times New Roman" w:cs="Times New Roman"/>
          <w:sz w:val="22"/>
          <w:szCs w:val="22"/>
        </w:rPr>
        <w:t>significantly reduced ambient levels of PM. During this time, the sources of PM and the PM composition changed (i.e., reduction in sulfate but increased organic matter).</w:t>
      </w:r>
      <w:r>
        <w:rPr>
          <w:rFonts w:ascii="Arial" w:eastAsia="Arial" w:hAnsi="Arial"/>
          <w:sz w:val="12"/>
          <w:szCs w:val="12"/>
        </w:rPr>
        <w:t>88</w:t>
      </w:r>
      <w:r>
        <w:rPr>
          <w:rFonts w:ascii="Times New Roman" w:eastAsia="Times New Roman" w:hAnsi="Times New Roman" w:cs="Times New Roman"/>
          <w:sz w:val="25"/>
          <w:szCs w:val="25"/>
          <w:vertAlign w:val="superscript"/>
        </w:rPr>
        <w:t>,</w:t>
      </w:r>
      <w:r>
        <w:rPr>
          <w:rFonts w:ascii="Arial" w:eastAsia="Arial" w:hAnsi="Arial"/>
          <w:sz w:val="12"/>
          <w:szCs w:val="12"/>
        </w:rPr>
        <w:t>89</w:t>
      </w:r>
    </w:p>
    <w:p w14:paraId="0000009E" w14:textId="77777777" w:rsidR="00E73A2B" w:rsidRDefault="00A25CF8">
      <w:pPr>
        <w:spacing w:line="20" w:lineRule="auto"/>
        <w:rPr>
          <w:rFonts w:ascii="Times New Roman" w:eastAsia="Times New Roman" w:hAnsi="Times New Roman" w:cs="Times New Roman"/>
        </w:rPr>
      </w:pPr>
      <w:r>
        <w:rPr>
          <w:noProof/>
        </w:rPr>
        <mc:AlternateContent>
          <mc:Choice Requires="wpg">
            <w:drawing>
              <wp:anchor distT="0" distB="0" distL="0" distR="0" simplePos="0" relativeHeight="251662336" behindDoc="1" locked="0" layoutInCell="1" hidden="0" allowOverlap="1">
                <wp:simplePos x="0" y="0"/>
                <wp:positionH relativeFrom="column">
                  <wp:posOffset>0</wp:posOffset>
                </wp:positionH>
                <wp:positionV relativeFrom="paragraph">
                  <wp:posOffset>762000</wp:posOffset>
                </wp:positionV>
                <wp:extent cx="1838325" cy="22225"/>
                <wp:effectExtent l="0" t="0" r="0" b="0"/>
                <wp:wrapNone/>
                <wp:docPr id="48" name=""/>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762000</wp:posOffset>
                </wp:positionV>
                <wp:extent cx="1838325" cy="22225"/>
                <wp:effectExtent b="0" l="0" r="0" t="0"/>
                <wp:wrapNone/>
                <wp:docPr id="48" name="image16.png"/>
                <a:graphic>
                  <a:graphicData uri="http://schemas.openxmlformats.org/drawingml/2006/picture">
                    <pic:pic>
                      <pic:nvPicPr>
                        <pic:cNvPr id="0" name="image16.png"/>
                        <pic:cNvPicPr preferRelativeResize="0"/>
                      </pic:nvPicPr>
                      <pic:blipFill>
                        <a:blip r:embed="rId16"/>
                        <a:srcRect/>
                        <a:stretch>
                          <a:fillRect/>
                        </a:stretch>
                      </pic:blipFill>
                      <pic:spPr>
                        <a:xfrm>
                          <a:off x="0" y="0"/>
                          <a:ext cx="1838325" cy="22225"/>
                        </a:xfrm>
                        <a:prstGeom prst="rect"/>
                        <a:ln/>
                      </pic:spPr>
                    </pic:pic>
                  </a:graphicData>
                </a:graphic>
              </wp:anchor>
            </w:drawing>
          </mc:Fallback>
        </mc:AlternateContent>
      </w:r>
    </w:p>
    <w:p w14:paraId="0000009F" w14:textId="77777777" w:rsidR="00E73A2B" w:rsidRDefault="00E73A2B">
      <w:pPr>
        <w:spacing w:line="200" w:lineRule="auto"/>
        <w:rPr>
          <w:rFonts w:ascii="Times New Roman" w:eastAsia="Times New Roman" w:hAnsi="Times New Roman" w:cs="Times New Roman"/>
        </w:rPr>
      </w:pPr>
    </w:p>
    <w:p w14:paraId="000000A0" w14:textId="77777777" w:rsidR="00E73A2B" w:rsidRDefault="00E73A2B">
      <w:pPr>
        <w:spacing w:line="200" w:lineRule="auto"/>
        <w:rPr>
          <w:rFonts w:ascii="Times New Roman" w:eastAsia="Times New Roman" w:hAnsi="Times New Roman" w:cs="Times New Roman"/>
        </w:rPr>
      </w:pPr>
    </w:p>
    <w:p w14:paraId="000000A1" w14:textId="77777777" w:rsidR="00E73A2B" w:rsidRDefault="00E73A2B">
      <w:pPr>
        <w:spacing w:line="200" w:lineRule="auto"/>
        <w:rPr>
          <w:rFonts w:ascii="Times New Roman" w:eastAsia="Times New Roman" w:hAnsi="Times New Roman" w:cs="Times New Roman"/>
        </w:rPr>
      </w:pPr>
    </w:p>
    <w:p w14:paraId="000000A2" w14:textId="77777777" w:rsidR="00E73A2B" w:rsidRDefault="00E73A2B">
      <w:pPr>
        <w:spacing w:line="200" w:lineRule="auto"/>
        <w:rPr>
          <w:rFonts w:ascii="Times New Roman" w:eastAsia="Times New Roman" w:hAnsi="Times New Roman" w:cs="Times New Roman"/>
        </w:rPr>
      </w:pPr>
    </w:p>
    <w:p w14:paraId="000000A3" w14:textId="77777777" w:rsidR="00E73A2B" w:rsidRDefault="00E73A2B">
      <w:pPr>
        <w:spacing w:line="200" w:lineRule="auto"/>
        <w:rPr>
          <w:rFonts w:ascii="Times New Roman" w:eastAsia="Times New Roman" w:hAnsi="Times New Roman" w:cs="Times New Roman"/>
        </w:rPr>
      </w:pPr>
    </w:p>
    <w:p w14:paraId="000000A4" w14:textId="77777777" w:rsidR="00E73A2B" w:rsidRDefault="00E73A2B">
      <w:pPr>
        <w:spacing w:line="200" w:lineRule="auto"/>
        <w:rPr>
          <w:rFonts w:ascii="Times New Roman" w:eastAsia="Times New Roman" w:hAnsi="Times New Roman" w:cs="Times New Roman"/>
        </w:rPr>
      </w:pPr>
    </w:p>
    <w:p w14:paraId="000000A5" w14:textId="77777777" w:rsidR="00E73A2B" w:rsidRDefault="00E73A2B">
      <w:pPr>
        <w:spacing w:line="216" w:lineRule="auto"/>
        <w:rPr>
          <w:rFonts w:ascii="Times New Roman" w:eastAsia="Times New Roman" w:hAnsi="Times New Roman" w:cs="Times New Roman"/>
        </w:rPr>
      </w:pPr>
    </w:p>
    <w:p w14:paraId="000000A6" w14:textId="77777777" w:rsidR="00E73A2B" w:rsidRDefault="00A25CF8">
      <w:pPr>
        <w:numPr>
          <w:ilvl w:val="0"/>
          <w:numId w:val="3"/>
        </w:numPr>
        <w:tabs>
          <w:tab w:val="left" w:pos="180"/>
        </w:tabs>
        <w:ind w:left="180" w:hanging="180"/>
        <w:rPr>
          <w:rFonts w:ascii="Arial" w:eastAsia="Arial" w:hAnsi="Arial"/>
          <w:sz w:val="24"/>
          <w:szCs w:val="24"/>
          <w:vertAlign w:val="superscript"/>
        </w:rPr>
      </w:pPr>
      <w:r>
        <w:rPr>
          <w:rFonts w:ascii="Times New Roman" w:eastAsia="Times New Roman" w:hAnsi="Times New Roman" w:cs="Times New Roman"/>
          <w:sz w:val="17"/>
          <w:szCs w:val="17"/>
        </w:rPr>
        <w:t>Centers for Disease Control and Prevention, “Most Recent Asthma State or Territory Data,” CDC, Accessed on November 23,</w:t>
      </w:r>
    </w:p>
    <w:p w14:paraId="000000A7" w14:textId="77777777" w:rsidR="00E73A2B" w:rsidRDefault="00E73A2B">
      <w:pPr>
        <w:spacing w:line="22" w:lineRule="auto"/>
        <w:rPr>
          <w:rFonts w:ascii="Arial" w:eastAsia="Arial" w:hAnsi="Arial"/>
          <w:sz w:val="24"/>
          <w:szCs w:val="24"/>
          <w:vertAlign w:val="superscript"/>
        </w:rPr>
      </w:pPr>
    </w:p>
    <w:p w14:paraId="000000A8" w14:textId="77777777" w:rsidR="00E73A2B" w:rsidRDefault="00A25CF8">
      <w:pPr>
        <w:spacing w:line="221" w:lineRule="auto"/>
        <w:ind w:left="280"/>
        <w:rPr>
          <w:rFonts w:ascii="Times New Roman" w:eastAsia="Times New Roman" w:hAnsi="Times New Roman" w:cs="Times New Roman"/>
          <w:sz w:val="18"/>
          <w:szCs w:val="18"/>
        </w:rPr>
      </w:pPr>
      <w:r>
        <w:rPr>
          <w:rFonts w:ascii="Times New Roman" w:eastAsia="Times New Roman" w:hAnsi="Times New Roman" w:cs="Times New Roman"/>
          <w:sz w:val="18"/>
          <w:szCs w:val="18"/>
        </w:rPr>
        <w:t>2021, https://www.cdc.gov/asthma/most_recent_data_states.htm.</w:t>
      </w:r>
    </w:p>
    <w:p w14:paraId="000000A9" w14:textId="77777777" w:rsidR="00E73A2B" w:rsidRDefault="00E73A2B">
      <w:pPr>
        <w:spacing w:line="149" w:lineRule="auto"/>
        <w:rPr>
          <w:rFonts w:ascii="Arial" w:eastAsia="Arial" w:hAnsi="Arial"/>
          <w:sz w:val="24"/>
          <w:szCs w:val="24"/>
          <w:vertAlign w:val="superscript"/>
        </w:rPr>
      </w:pPr>
    </w:p>
    <w:p w14:paraId="000000AA" w14:textId="77777777" w:rsidR="00E73A2B" w:rsidRDefault="00A25CF8">
      <w:pPr>
        <w:numPr>
          <w:ilvl w:val="0"/>
          <w:numId w:val="3"/>
        </w:numPr>
        <w:tabs>
          <w:tab w:val="left" w:pos="189"/>
        </w:tabs>
        <w:spacing w:line="219" w:lineRule="auto"/>
        <w:ind w:left="280" w:right="1540" w:hanging="280"/>
        <w:rPr>
          <w:rFonts w:ascii="Arial" w:eastAsia="Arial" w:hAnsi="Arial"/>
          <w:sz w:val="25"/>
          <w:szCs w:val="25"/>
          <w:vertAlign w:val="superscript"/>
        </w:rPr>
      </w:pPr>
      <w:r>
        <w:rPr>
          <w:rFonts w:ascii="Times New Roman" w:eastAsia="Times New Roman" w:hAnsi="Times New Roman" w:cs="Times New Roman"/>
          <w:sz w:val="17"/>
          <w:szCs w:val="17"/>
        </w:rPr>
        <w:t xml:space="preserve">Blanchard </w:t>
      </w:r>
      <w:r>
        <w:rPr>
          <w:rFonts w:ascii="Times New Roman" w:eastAsia="Times New Roman" w:hAnsi="Times New Roman" w:cs="Times New Roman"/>
          <w:i/>
          <w:sz w:val="17"/>
          <w:szCs w:val="17"/>
        </w:rPr>
        <w:t>et al</w:t>
      </w:r>
      <w:r>
        <w:rPr>
          <w:rFonts w:ascii="Times New Roman" w:eastAsia="Times New Roman" w:hAnsi="Times New Roman" w:cs="Times New Roman"/>
          <w:sz w:val="17"/>
          <w:szCs w:val="17"/>
        </w:rPr>
        <w:t>. 2020. Accessed at https://www.tandfonline.com/doi/full/10.1080/10962247.2021.1914773?scroll=top&amp;needAccess=true&amp;.</w:t>
      </w:r>
    </w:p>
    <w:p w14:paraId="000000AB" w14:textId="77777777" w:rsidR="00E73A2B" w:rsidRDefault="00E73A2B">
      <w:pPr>
        <w:spacing w:line="78" w:lineRule="auto"/>
        <w:rPr>
          <w:rFonts w:ascii="Arial" w:eastAsia="Arial" w:hAnsi="Arial"/>
          <w:sz w:val="25"/>
          <w:szCs w:val="25"/>
          <w:vertAlign w:val="superscript"/>
        </w:rPr>
      </w:pPr>
    </w:p>
    <w:p w14:paraId="000000AC" w14:textId="77777777" w:rsidR="00E73A2B" w:rsidRDefault="00A25CF8">
      <w:pPr>
        <w:numPr>
          <w:ilvl w:val="0"/>
          <w:numId w:val="3"/>
        </w:numPr>
        <w:tabs>
          <w:tab w:val="left" w:pos="200"/>
        </w:tabs>
        <w:ind w:left="200" w:hanging="200"/>
        <w:rPr>
          <w:rFonts w:ascii="Arial" w:eastAsia="Arial" w:hAnsi="Arial"/>
          <w:sz w:val="26"/>
          <w:szCs w:val="26"/>
          <w:vertAlign w:val="superscript"/>
        </w:rPr>
      </w:pPr>
      <w:r>
        <w:rPr>
          <w:rFonts w:ascii="Times New Roman" w:eastAsia="Times New Roman" w:hAnsi="Times New Roman" w:cs="Times New Roman"/>
          <w:sz w:val="18"/>
          <w:szCs w:val="18"/>
        </w:rPr>
        <w:t xml:space="preserve">Pitiranggon </w:t>
      </w:r>
      <w:r>
        <w:rPr>
          <w:rFonts w:ascii="Times New Roman" w:eastAsia="Times New Roman" w:hAnsi="Times New Roman" w:cs="Times New Roman"/>
          <w:i/>
          <w:sz w:val="18"/>
          <w:szCs w:val="18"/>
        </w:rPr>
        <w:t>et al</w:t>
      </w:r>
      <w:r>
        <w:rPr>
          <w:rFonts w:ascii="Times New Roman" w:eastAsia="Times New Roman" w:hAnsi="Times New Roman" w:cs="Times New Roman"/>
          <w:sz w:val="18"/>
          <w:szCs w:val="18"/>
        </w:rPr>
        <w:t>. 2021. Accessed at https://www.sciencedirect.com/science/article/pii/S135223102100056X.</w:t>
      </w:r>
    </w:p>
    <w:p w14:paraId="000000AD" w14:textId="77777777" w:rsidR="00E73A2B" w:rsidRDefault="00E73A2B">
      <w:pPr>
        <w:spacing w:line="200" w:lineRule="auto"/>
        <w:rPr>
          <w:rFonts w:ascii="Times New Roman" w:eastAsia="Times New Roman" w:hAnsi="Times New Roman" w:cs="Times New Roman"/>
        </w:rPr>
      </w:pPr>
    </w:p>
    <w:p w14:paraId="000000AE" w14:textId="77777777" w:rsidR="00E73A2B" w:rsidRDefault="00E73A2B">
      <w:pPr>
        <w:spacing w:line="253" w:lineRule="auto"/>
        <w:rPr>
          <w:rFonts w:ascii="Times New Roman" w:eastAsia="Times New Roman" w:hAnsi="Times New Roman" w:cs="Times New Roman"/>
        </w:rPr>
      </w:pPr>
    </w:p>
    <w:tbl>
      <w:tblPr>
        <w:tblStyle w:val="af4"/>
        <w:tblW w:w="9360" w:type="dxa"/>
        <w:tblLayout w:type="fixed"/>
        <w:tblLook w:val="0000" w:firstRow="0" w:lastRow="0" w:firstColumn="0" w:lastColumn="0" w:noHBand="0" w:noVBand="0"/>
      </w:tblPr>
      <w:tblGrid>
        <w:gridCol w:w="5460"/>
        <w:gridCol w:w="3900"/>
      </w:tblGrid>
      <w:tr w:rsidR="00E73A2B" w14:paraId="288E2129" w14:textId="77777777">
        <w:trPr>
          <w:trHeight w:val="184"/>
        </w:trPr>
        <w:tc>
          <w:tcPr>
            <w:tcW w:w="5460" w:type="dxa"/>
            <w:shd w:val="clear" w:color="auto" w:fill="auto"/>
            <w:vAlign w:val="bottom"/>
          </w:tcPr>
          <w:p w14:paraId="000000AF" w14:textId="77777777" w:rsidR="00E73A2B" w:rsidRDefault="00A25CF8">
            <w:pPr>
              <w:rPr>
                <w:rFonts w:ascii="Arial" w:eastAsia="Arial" w:hAnsi="Arial"/>
                <w:sz w:val="16"/>
                <w:szCs w:val="16"/>
              </w:rPr>
            </w:pPr>
            <w:hyperlink w:anchor="bookmark=id.44sinio">
              <w:r>
                <w:rPr>
                  <w:rFonts w:ascii="Arial" w:eastAsia="Arial" w:hAnsi="Arial"/>
                  <w:sz w:val="16"/>
                  <w:szCs w:val="16"/>
                </w:rPr>
                <w:t>Chapter 8. Public Health</w:t>
              </w:r>
            </w:hyperlink>
          </w:p>
        </w:tc>
        <w:tc>
          <w:tcPr>
            <w:tcW w:w="3900" w:type="dxa"/>
            <w:shd w:val="clear" w:color="auto" w:fill="auto"/>
            <w:vAlign w:val="bottom"/>
          </w:tcPr>
          <w:p w14:paraId="000000B0" w14:textId="77777777" w:rsidR="00E73A2B" w:rsidRDefault="00A25CF8">
            <w:pPr>
              <w:jc w:val="right"/>
              <w:rPr>
                <w:rFonts w:ascii="Arial" w:eastAsia="Arial" w:hAnsi="Arial"/>
                <w:sz w:val="16"/>
                <w:szCs w:val="16"/>
              </w:rPr>
            </w:pPr>
            <w:r>
              <w:rPr>
                <w:rFonts w:ascii="Arial" w:eastAsia="Arial" w:hAnsi="Arial"/>
                <w:sz w:val="16"/>
                <w:szCs w:val="16"/>
              </w:rPr>
              <w:t>57</w:t>
            </w:r>
          </w:p>
        </w:tc>
      </w:tr>
    </w:tbl>
    <w:p w14:paraId="000000B1" w14:textId="77777777" w:rsidR="00E73A2B" w:rsidRDefault="00E73A2B">
      <w:pPr>
        <w:rPr>
          <w:rFonts w:ascii="Arial" w:eastAsia="Arial" w:hAnsi="Arial"/>
          <w:sz w:val="16"/>
          <w:szCs w:val="16"/>
        </w:rPr>
        <w:sectPr w:rsidR="00E73A2B">
          <w:pgSz w:w="12240" w:h="15840"/>
          <w:pgMar w:top="1440" w:right="1440" w:bottom="395" w:left="1440" w:header="0" w:footer="0" w:gutter="0"/>
          <w:cols w:space="720"/>
        </w:sectPr>
      </w:pPr>
    </w:p>
    <w:p w14:paraId="000000B2" w14:textId="77777777" w:rsidR="00E73A2B" w:rsidRDefault="00E73A2B">
      <w:pPr>
        <w:spacing w:line="14" w:lineRule="auto"/>
        <w:rPr>
          <w:rFonts w:ascii="Times New Roman" w:eastAsia="Times New Roman" w:hAnsi="Times New Roman" w:cs="Times New Roman"/>
        </w:rPr>
      </w:pPr>
      <w:bookmarkStart w:id="8" w:name="bookmark=id.2et92p0" w:colFirst="0" w:colLast="0"/>
      <w:bookmarkEnd w:id="8"/>
    </w:p>
    <w:p w14:paraId="000000B3" w14:textId="77777777" w:rsidR="00E73A2B" w:rsidRDefault="00A25CF8">
      <w:pPr>
        <w:spacing w:line="351" w:lineRule="auto"/>
        <w:ind w:right="20"/>
        <w:rPr>
          <w:rFonts w:ascii="Times New Roman" w:eastAsia="Times New Roman" w:hAnsi="Times New Roman" w:cs="Times New Roman"/>
          <w:sz w:val="22"/>
          <w:szCs w:val="22"/>
        </w:rPr>
      </w:pPr>
      <w:r>
        <w:rPr>
          <w:rFonts w:ascii="Times New Roman" w:eastAsia="Times New Roman" w:hAnsi="Times New Roman" w:cs="Times New Roman"/>
          <w:sz w:val="22"/>
          <w:szCs w:val="22"/>
        </w:rPr>
        <w:t>COVID-19 is one of the most significant emerging diseases of the 21</w:t>
      </w:r>
      <w:r>
        <w:rPr>
          <w:rFonts w:ascii="Times New Roman" w:eastAsia="Times New Roman" w:hAnsi="Times New Roman" w:cs="Times New Roman"/>
          <w:sz w:val="27"/>
          <w:szCs w:val="27"/>
          <w:vertAlign w:val="superscript"/>
        </w:rPr>
        <w:t>st</w:t>
      </w:r>
      <w:r>
        <w:rPr>
          <w:rFonts w:ascii="Times New Roman" w:eastAsia="Times New Roman" w:hAnsi="Times New Roman" w:cs="Times New Roman"/>
          <w:sz w:val="22"/>
          <w:szCs w:val="22"/>
        </w:rPr>
        <w:t xml:space="preserve"> century. Air pollution, in particular PM</w:t>
      </w:r>
      <w:r>
        <w:rPr>
          <w:rFonts w:ascii="Times New Roman" w:eastAsia="Times New Roman" w:hAnsi="Times New Roman" w:cs="Times New Roman"/>
          <w:sz w:val="13"/>
          <w:szCs w:val="13"/>
        </w:rPr>
        <w:t>2.5</w:t>
      </w:r>
      <w:r>
        <w:rPr>
          <w:rFonts w:ascii="Times New Roman" w:eastAsia="Times New Roman" w:hAnsi="Times New Roman" w:cs="Times New Roman"/>
          <w:sz w:val="22"/>
          <w:szCs w:val="22"/>
        </w:rPr>
        <w:t>, which is released during combustion, can exacerbate symptoms of respiratory illness.</w:t>
      </w:r>
      <w:r>
        <w:rPr>
          <w:rFonts w:ascii="Arial" w:eastAsia="Arial" w:hAnsi="Arial"/>
          <w:sz w:val="12"/>
          <w:szCs w:val="12"/>
        </w:rPr>
        <w:t>90</w:t>
      </w:r>
      <w:r>
        <w:rPr>
          <w:rFonts w:ascii="Times New Roman" w:eastAsia="Times New Roman" w:hAnsi="Times New Roman" w:cs="Times New Roman"/>
          <w:sz w:val="22"/>
          <w:szCs w:val="22"/>
        </w:rPr>
        <w:t xml:space="preserve"> Long-term exposure to PM</w:t>
      </w:r>
      <w:r>
        <w:rPr>
          <w:rFonts w:ascii="Times New Roman" w:eastAsia="Times New Roman" w:hAnsi="Times New Roman" w:cs="Times New Roman"/>
          <w:sz w:val="13"/>
          <w:szCs w:val="13"/>
        </w:rPr>
        <w:t>2.5</w:t>
      </w:r>
      <w:r>
        <w:rPr>
          <w:rFonts w:ascii="Times New Roman" w:eastAsia="Times New Roman" w:hAnsi="Times New Roman" w:cs="Times New Roman"/>
          <w:sz w:val="22"/>
          <w:szCs w:val="22"/>
        </w:rPr>
        <w:t xml:space="preserve"> from the 2020 wildfires in Western United States, which are increasing in frequency due to climate change, has also been shown to increase the risk of death from COVID-19. Disadvantaged Communities, as defined in the Climate Ac</w:t>
      </w:r>
      <w:r>
        <w:rPr>
          <w:rFonts w:ascii="Times New Roman" w:eastAsia="Times New Roman" w:hAnsi="Times New Roman" w:cs="Times New Roman"/>
          <w:sz w:val="22"/>
          <w:szCs w:val="22"/>
        </w:rPr>
        <w:t>t, are likely to have greater health disparities (or inequities) and shoulder more significant environmental burdens than other communities. Elevated levels of NO</w:t>
      </w:r>
      <w:r>
        <w:rPr>
          <w:rFonts w:ascii="Times New Roman" w:eastAsia="Times New Roman" w:hAnsi="Times New Roman" w:cs="Times New Roman"/>
          <w:sz w:val="13"/>
          <w:szCs w:val="13"/>
        </w:rPr>
        <w:t>2</w:t>
      </w:r>
      <w:r>
        <w:rPr>
          <w:rFonts w:ascii="Times New Roman" w:eastAsia="Times New Roman" w:hAnsi="Times New Roman" w:cs="Times New Roman"/>
          <w:sz w:val="22"/>
          <w:szCs w:val="22"/>
        </w:rPr>
        <w:t>,</w:t>
      </w:r>
      <w:r>
        <w:rPr>
          <w:rFonts w:ascii="Arial" w:eastAsia="Arial" w:hAnsi="Arial"/>
          <w:sz w:val="12"/>
          <w:szCs w:val="12"/>
        </w:rPr>
        <w:t>91</w:t>
      </w:r>
      <w:r>
        <w:rPr>
          <w:rFonts w:ascii="Times New Roman" w:eastAsia="Times New Roman" w:hAnsi="Times New Roman" w:cs="Times New Roman"/>
          <w:sz w:val="22"/>
          <w:szCs w:val="22"/>
        </w:rPr>
        <w:t xml:space="preserve"> which can be a product of vehicle combustion emissions, among other sources, and are air </w:t>
      </w:r>
      <w:r>
        <w:rPr>
          <w:rFonts w:ascii="Times New Roman" w:eastAsia="Times New Roman" w:hAnsi="Times New Roman" w:cs="Times New Roman"/>
          <w:sz w:val="22"/>
          <w:szCs w:val="22"/>
        </w:rPr>
        <w:t>pollutants associated with Disadvantaged Communities, are associated with higher rates of COVID-19 infection and higher rates of death.</w:t>
      </w:r>
      <w:r>
        <w:rPr>
          <w:rFonts w:ascii="Arial" w:eastAsia="Arial" w:hAnsi="Arial"/>
          <w:sz w:val="12"/>
          <w:szCs w:val="12"/>
        </w:rPr>
        <w:t>92,93</w:t>
      </w:r>
      <w:r>
        <w:rPr>
          <w:rFonts w:ascii="Times New Roman" w:eastAsia="Times New Roman" w:hAnsi="Times New Roman" w:cs="Times New Roman"/>
          <w:sz w:val="22"/>
          <w:szCs w:val="22"/>
        </w:rPr>
        <w:t xml:space="preserve"> By addressing climate change, we can decrease air pollution and reduce the effects pollutants have on respiratory i</w:t>
      </w:r>
      <w:r>
        <w:rPr>
          <w:rFonts w:ascii="Times New Roman" w:eastAsia="Times New Roman" w:hAnsi="Times New Roman" w:cs="Times New Roman"/>
          <w:sz w:val="22"/>
          <w:szCs w:val="22"/>
        </w:rPr>
        <w:t>llnesses, including COVID-19 infection, protect and improve health, and address underlying economic and social inequities using asset-based approaches.</w:t>
      </w:r>
    </w:p>
    <w:p w14:paraId="000000B4" w14:textId="77777777" w:rsidR="00E73A2B" w:rsidRDefault="00E73A2B">
      <w:pPr>
        <w:spacing w:line="373" w:lineRule="auto"/>
        <w:rPr>
          <w:rFonts w:ascii="Times New Roman" w:eastAsia="Times New Roman" w:hAnsi="Times New Roman" w:cs="Times New Roman"/>
        </w:rPr>
      </w:pPr>
    </w:p>
    <w:p w14:paraId="000000B5" w14:textId="77777777" w:rsidR="00E73A2B" w:rsidRDefault="00A25CF8">
      <w:pPr>
        <w:rPr>
          <w:rFonts w:ascii="Arial" w:eastAsia="Arial" w:hAnsi="Arial"/>
          <w:b/>
          <w:sz w:val="28"/>
          <w:szCs w:val="28"/>
        </w:rPr>
      </w:pPr>
      <w:r>
        <w:rPr>
          <w:rFonts w:ascii="Arial" w:eastAsia="Arial" w:hAnsi="Arial"/>
          <w:b/>
          <w:sz w:val="28"/>
          <w:szCs w:val="28"/>
        </w:rPr>
        <w:t>8.3 Sector-Specific Health Co-Benefits of Climate Policies</w:t>
      </w:r>
    </w:p>
    <w:p w14:paraId="000000B6" w14:textId="77777777" w:rsidR="00E73A2B" w:rsidRDefault="00E73A2B">
      <w:pPr>
        <w:spacing w:line="72" w:lineRule="auto"/>
        <w:rPr>
          <w:rFonts w:ascii="Times New Roman" w:eastAsia="Times New Roman" w:hAnsi="Times New Roman" w:cs="Times New Roman"/>
        </w:rPr>
      </w:pPr>
    </w:p>
    <w:p w14:paraId="000000B7" w14:textId="77777777" w:rsidR="00E73A2B" w:rsidRDefault="00A25CF8">
      <w:pPr>
        <w:spacing w:line="358" w:lineRule="auto"/>
        <w:ind w:right="100"/>
        <w:rPr>
          <w:rFonts w:ascii="Times New Roman" w:eastAsia="Times New Roman" w:hAnsi="Times New Roman" w:cs="Times New Roman"/>
          <w:sz w:val="22"/>
          <w:szCs w:val="22"/>
        </w:rPr>
      </w:pPr>
      <w:r>
        <w:rPr>
          <w:rFonts w:ascii="Times New Roman" w:eastAsia="Times New Roman" w:hAnsi="Times New Roman" w:cs="Times New Roman"/>
          <w:sz w:val="22"/>
          <w:szCs w:val="22"/>
        </w:rPr>
        <w:t>In addition to the health impacts associate</w:t>
      </w:r>
      <w:r>
        <w:rPr>
          <w:rFonts w:ascii="Times New Roman" w:eastAsia="Times New Roman" w:hAnsi="Times New Roman" w:cs="Times New Roman"/>
          <w:sz w:val="22"/>
          <w:szCs w:val="22"/>
        </w:rPr>
        <w:t>d with climate change, the production, distribution, and use of carbon-based fuels can have many other health impacts. These impacts can arise from routine operations, accidents, and catastrophic events. Health impacts resulting from routine carbon-based f</w:t>
      </w:r>
      <w:r>
        <w:rPr>
          <w:rFonts w:ascii="Times New Roman" w:eastAsia="Times New Roman" w:hAnsi="Times New Roman" w:cs="Times New Roman"/>
          <w:sz w:val="22"/>
          <w:szCs w:val="22"/>
        </w:rPr>
        <w:t>uel use and production can range from local to global in scale and examples include degradation of air quality due to the combustion of fossil fuels and accidents such as fires, fuel oil spills, natural gas pipeline explosions, and other occupational and n</w:t>
      </w:r>
      <w:r>
        <w:rPr>
          <w:rFonts w:ascii="Times New Roman" w:eastAsia="Times New Roman" w:hAnsi="Times New Roman" w:cs="Times New Roman"/>
          <w:sz w:val="22"/>
          <w:szCs w:val="22"/>
        </w:rPr>
        <w:t xml:space="preserve">onoccupational accidents. Reduction of these impacts through GHG emissions reductions strategies results in health co-benefits. Some of these impacts are discussed in the sections below. </w:t>
      </w:r>
      <w:hyperlink w:anchor="bookmark=id.tyjcwt">
        <w:r>
          <w:rPr>
            <w:rFonts w:ascii="Times New Roman" w:eastAsia="Times New Roman" w:hAnsi="Times New Roman" w:cs="Times New Roman"/>
            <w:sz w:val="22"/>
            <w:szCs w:val="22"/>
          </w:rPr>
          <w:t xml:space="preserve">Table 3 </w:t>
        </w:r>
      </w:hyperlink>
      <w:r>
        <w:rPr>
          <w:rFonts w:ascii="Times New Roman" w:eastAsia="Times New Roman" w:hAnsi="Times New Roman" w:cs="Times New Roman"/>
          <w:sz w:val="22"/>
          <w:szCs w:val="22"/>
        </w:rPr>
        <w:t>summarizes the human</w:t>
      </w:r>
      <w:r>
        <w:rPr>
          <w:rFonts w:ascii="Times New Roman" w:eastAsia="Times New Roman" w:hAnsi="Times New Roman" w:cs="Times New Roman"/>
          <w:sz w:val="22"/>
          <w:szCs w:val="22"/>
        </w:rPr>
        <w:t xml:space="preserve"> health effects that are associated with GHG emissions (climate change) and exposure to some air pollutants commonly associated with carbon-based fuel combustion.</w:t>
      </w:r>
    </w:p>
    <w:p w14:paraId="000000B8" w14:textId="77777777" w:rsidR="00E73A2B" w:rsidRDefault="00A25CF8">
      <w:pPr>
        <w:spacing w:line="20" w:lineRule="auto"/>
        <w:rPr>
          <w:rFonts w:ascii="Times New Roman" w:eastAsia="Times New Roman" w:hAnsi="Times New Roman" w:cs="Times New Roman"/>
        </w:rPr>
      </w:pPr>
      <w:r>
        <w:rPr>
          <w:noProof/>
        </w:rPr>
        <mc:AlternateContent>
          <mc:Choice Requires="wpg">
            <w:drawing>
              <wp:anchor distT="0" distB="0" distL="0" distR="0" simplePos="0" relativeHeight="251663360" behindDoc="1" locked="0" layoutInCell="1" hidden="0" allowOverlap="1">
                <wp:simplePos x="0" y="0"/>
                <wp:positionH relativeFrom="column">
                  <wp:posOffset>0</wp:posOffset>
                </wp:positionH>
                <wp:positionV relativeFrom="paragraph">
                  <wp:posOffset>736600</wp:posOffset>
                </wp:positionV>
                <wp:extent cx="1838325" cy="22225"/>
                <wp:effectExtent l="0" t="0" r="0" b="0"/>
                <wp:wrapNone/>
                <wp:docPr id="39" name=""/>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736600</wp:posOffset>
                </wp:positionV>
                <wp:extent cx="1838325" cy="22225"/>
                <wp:effectExtent b="0" l="0" r="0" t="0"/>
                <wp:wrapNone/>
                <wp:docPr id="39"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1838325" cy="22225"/>
                        </a:xfrm>
                        <a:prstGeom prst="rect"/>
                        <a:ln/>
                      </pic:spPr>
                    </pic:pic>
                  </a:graphicData>
                </a:graphic>
              </wp:anchor>
            </w:drawing>
          </mc:Fallback>
        </mc:AlternateContent>
      </w:r>
    </w:p>
    <w:p w14:paraId="000000B9" w14:textId="77777777" w:rsidR="00E73A2B" w:rsidRDefault="00E73A2B">
      <w:pPr>
        <w:spacing w:line="200" w:lineRule="auto"/>
        <w:rPr>
          <w:rFonts w:ascii="Times New Roman" w:eastAsia="Times New Roman" w:hAnsi="Times New Roman" w:cs="Times New Roman"/>
        </w:rPr>
      </w:pPr>
    </w:p>
    <w:p w14:paraId="000000BA" w14:textId="77777777" w:rsidR="00E73A2B" w:rsidRDefault="00E73A2B">
      <w:pPr>
        <w:spacing w:line="200" w:lineRule="auto"/>
        <w:rPr>
          <w:rFonts w:ascii="Times New Roman" w:eastAsia="Times New Roman" w:hAnsi="Times New Roman" w:cs="Times New Roman"/>
        </w:rPr>
      </w:pPr>
    </w:p>
    <w:p w14:paraId="000000BB" w14:textId="77777777" w:rsidR="00E73A2B" w:rsidRDefault="00E73A2B">
      <w:pPr>
        <w:spacing w:line="200" w:lineRule="auto"/>
        <w:rPr>
          <w:rFonts w:ascii="Times New Roman" w:eastAsia="Times New Roman" w:hAnsi="Times New Roman" w:cs="Times New Roman"/>
        </w:rPr>
      </w:pPr>
    </w:p>
    <w:p w14:paraId="000000BC" w14:textId="77777777" w:rsidR="00E73A2B" w:rsidRDefault="00E73A2B">
      <w:pPr>
        <w:spacing w:line="200" w:lineRule="auto"/>
        <w:rPr>
          <w:rFonts w:ascii="Times New Roman" w:eastAsia="Times New Roman" w:hAnsi="Times New Roman" w:cs="Times New Roman"/>
        </w:rPr>
      </w:pPr>
    </w:p>
    <w:p w14:paraId="000000BD" w14:textId="77777777" w:rsidR="00E73A2B" w:rsidRDefault="00E73A2B">
      <w:pPr>
        <w:spacing w:line="200" w:lineRule="auto"/>
        <w:rPr>
          <w:rFonts w:ascii="Times New Roman" w:eastAsia="Times New Roman" w:hAnsi="Times New Roman" w:cs="Times New Roman"/>
        </w:rPr>
      </w:pPr>
    </w:p>
    <w:p w14:paraId="000000BE" w14:textId="77777777" w:rsidR="00E73A2B" w:rsidRDefault="00E73A2B">
      <w:pPr>
        <w:spacing w:line="200" w:lineRule="auto"/>
        <w:rPr>
          <w:rFonts w:ascii="Times New Roman" w:eastAsia="Times New Roman" w:hAnsi="Times New Roman" w:cs="Times New Roman"/>
        </w:rPr>
      </w:pPr>
    </w:p>
    <w:p w14:paraId="000000BF" w14:textId="77777777" w:rsidR="00E73A2B" w:rsidRDefault="00E73A2B">
      <w:pPr>
        <w:spacing w:line="273" w:lineRule="auto"/>
        <w:rPr>
          <w:rFonts w:ascii="Times New Roman" w:eastAsia="Times New Roman" w:hAnsi="Times New Roman" w:cs="Times New Roman"/>
        </w:rPr>
      </w:pPr>
    </w:p>
    <w:p w14:paraId="000000C0" w14:textId="77777777" w:rsidR="00E73A2B" w:rsidRDefault="00A25CF8">
      <w:pPr>
        <w:numPr>
          <w:ilvl w:val="0"/>
          <w:numId w:val="6"/>
        </w:numPr>
        <w:tabs>
          <w:tab w:val="left" w:pos="198"/>
        </w:tabs>
        <w:spacing w:line="194" w:lineRule="auto"/>
        <w:ind w:left="280" w:right="20" w:hanging="280"/>
        <w:rPr>
          <w:rFonts w:ascii="Arial" w:eastAsia="Arial" w:hAnsi="Arial"/>
          <w:sz w:val="26"/>
          <w:szCs w:val="26"/>
          <w:vertAlign w:val="superscript"/>
        </w:rPr>
      </w:pPr>
      <w:r>
        <w:rPr>
          <w:rFonts w:ascii="Times New Roman" w:eastAsia="Times New Roman" w:hAnsi="Times New Roman" w:cs="Times New Roman"/>
          <w:sz w:val="18"/>
          <w:szCs w:val="18"/>
        </w:rPr>
        <w:t>Croft DP, Zhang W, Lin S, et al. The Association between Respiratory Infection and Air Pollution in the Setting of Air Quality Policy and Economic Change. Ann Am2 Thorac Soc. 2019;16(3):321-330. doi:10.1513/AnnalsATS.201810-691OC.</w:t>
      </w:r>
    </w:p>
    <w:p w14:paraId="000000C1" w14:textId="77777777" w:rsidR="00E73A2B" w:rsidRDefault="00E73A2B">
      <w:pPr>
        <w:spacing w:line="110" w:lineRule="auto"/>
        <w:rPr>
          <w:rFonts w:ascii="Arial" w:eastAsia="Arial" w:hAnsi="Arial"/>
          <w:sz w:val="26"/>
          <w:szCs w:val="26"/>
          <w:vertAlign w:val="superscript"/>
        </w:rPr>
      </w:pPr>
    </w:p>
    <w:p w14:paraId="000000C2" w14:textId="77777777" w:rsidR="00E73A2B" w:rsidRDefault="00A25CF8">
      <w:pPr>
        <w:numPr>
          <w:ilvl w:val="0"/>
          <w:numId w:val="6"/>
        </w:numPr>
        <w:tabs>
          <w:tab w:val="left" w:pos="198"/>
        </w:tabs>
        <w:spacing w:line="203" w:lineRule="auto"/>
        <w:ind w:left="280" w:right="420" w:hanging="280"/>
        <w:rPr>
          <w:rFonts w:ascii="Arial" w:eastAsia="Arial" w:hAnsi="Arial"/>
          <w:sz w:val="25"/>
          <w:szCs w:val="25"/>
          <w:vertAlign w:val="superscript"/>
        </w:rPr>
      </w:pPr>
      <w:r>
        <w:rPr>
          <w:rFonts w:ascii="Times New Roman" w:eastAsia="Times New Roman" w:hAnsi="Times New Roman" w:cs="Times New Roman"/>
          <w:sz w:val="17"/>
          <w:szCs w:val="17"/>
        </w:rPr>
        <w:t>Liu T, Mickley LJ, Coope</w:t>
      </w:r>
      <w:r>
        <w:rPr>
          <w:rFonts w:ascii="Times New Roman" w:eastAsia="Times New Roman" w:hAnsi="Times New Roman" w:cs="Times New Roman"/>
          <w:sz w:val="17"/>
          <w:szCs w:val="17"/>
        </w:rPr>
        <w:t>r M, Dominici F. Excess of COVID-19 cases and deaths due to fine particulate matter exposure during the 2020 wildfires in the United States. Sci Adv. 2021 Aug 13;7(33):eabi8789. doi: 10.1126/sciadv.abi8789.</w:t>
      </w:r>
    </w:p>
    <w:p w14:paraId="000000C3" w14:textId="77777777" w:rsidR="00E73A2B" w:rsidRDefault="00E73A2B">
      <w:pPr>
        <w:spacing w:line="148" w:lineRule="auto"/>
        <w:rPr>
          <w:rFonts w:ascii="Arial" w:eastAsia="Arial" w:hAnsi="Arial"/>
          <w:sz w:val="25"/>
          <w:szCs w:val="25"/>
          <w:vertAlign w:val="superscript"/>
        </w:rPr>
      </w:pPr>
    </w:p>
    <w:p w14:paraId="000000C4" w14:textId="77777777" w:rsidR="00E73A2B" w:rsidRDefault="00A25CF8">
      <w:pPr>
        <w:numPr>
          <w:ilvl w:val="0"/>
          <w:numId w:val="6"/>
        </w:numPr>
        <w:tabs>
          <w:tab w:val="left" w:pos="208"/>
        </w:tabs>
        <w:spacing w:line="228" w:lineRule="auto"/>
        <w:ind w:left="280" w:hanging="280"/>
        <w:rPr>
          <w:rFonts w:ascii="Arial" w:eastAsia="Arial" w:hAnsi="Arial"/>
          <w:sz w:val="26"/>
          <w:szCs w:val="26"/>
          <w:vertAlign w:val="superscript"/>
        </w:rPr>
      </w:pPr>
      <w:r>
        <w:rPr>
          <w:rFonts w:ascii="Times New Roman" w:eastAsia="Times New Roman" w:hAnsi="Times New Roman" w:cs="Times New Roman"/>
          <w:sz w:val="18"/>
          <w:szCs w:val="18"/>
        </w:rPr>
        <w:t>Liang, D. Shi L., Zhao J., Liu P., Sarnat, J.A., Gao S., Schwartz J., Liu Y., Ebel S.T., Scovronick N., Chang, Urban H.H. 2020. Air Pollution May Enhance COVID-19 Case-Fatality and Mortality Rates in the United States, The Innovation, 1(3), https://doi.org</w:t>
      </w:r>
      <w:r>
        <w:rPr>
          <w:rFonts w:ascii="Times New Roman" w:eastAsia="Times New Roman" w:hAnsi="Times New Roman" w:cs="Times New Roman"/>
          <w:sz w:val="18"/>
          <w:szCs w:val="18"/>
        </w:rPr>
        <w:t>/10.1016/j.xinn.2020.100047.</w:t>
      </w:r>
    </w:p>
    <w:p w14:paraId="000000C5" w14:textId="77777777" w:rsidR="00E73A2B" w:rsidRDefault="00E73A2B">
      <w:pPr>
        <w:spacing w:line="181" w:lineRule="auto"/>
        <w:rPr>
          <w:rFonts w:ascii="Arial" w:eastAsia="Arial" w:hAnsi="Arial"/>
          <w:sz w:val="26"/>
          <w:szCs w:val="26"/>
          <w:vertAlign w:val="superscript"/>
        </w:rPr>
      </w:pPr>
    </w:p>
    <w:p w14:paraId="000000C6" w14:textId="77777777" w:rsidR="00E73A2B" w:rsidRDefault="00A25CF8">
      <w:pPr>
        <w:numPr>
          <w:ilvl w:val="0"/>
          <w:numId w:val="6"/>
        </w:numPr>
        <w:tabs>
          <w:tab w:val="left" w:pos="189"/>
        </w:tabs>
        <w:spacing w:line="241" w:lineRule="auto"/>
        <w:ind w:left="280" w:right="120" w:hanging="280"/>
        <w:rPr>
          <w:rFonts w:ascii="Arial" w:eastAsia="Arial" w:hAnsi="Arial"/>
          <w:sz w:val="25"/>
          <w:szCs w:val="25"/>
          <w:vertAlign w:val="superscript"/>
        </w:rPr>
      </w:pPr>
      <w:r>
        <w:rPr>
          <w:rFonts w:ascii="Times New Roman" w:eastAsia="Times New Roman" w:hAnsi="Times New Roman" w:cs="Times New Roman"/>
          <w:sz w:val="17"/>
          <w:szCs w:val="17"/>
        </w:rPr>
        <w:t>Lipsitt J, Chan-Golston AM, Liu J, Su J, Zhu Y, Jerrett M. Spatial analysis of COVID-19 and traffic-related air pollution in Los Angeles. Environ Int. 2021 Aug;153:106531. doi: 10.1016/j.envint.2021.106531. Epub 2021 Mar 22. P</w:t>
      </w:r>
      <w:r>
        <w:rPr>
          <w:rFonts w:ascii="Times New Roman" w:eastAsia="Times New Roman" w:hAnsi="Times New Roman" w:cs="Times New Roman"/>
          <w:sz w:val="17"/>
          <w:szCs w:val="17"/>
        </w:rPr>
        <w:t>MID: 33812043; PMCID: PMC7983457.</w:t>
      </w:r>
    </w:p>
    <w:p w14:paraId="000000C7" w14:textId="77777777" w:rsidR="00E73A2B" w:rsidRDefault="00E73A2B">
      <w:pPr>
        <w:spacing w:line="200" w:lineRule="auto"/>
        <w:rPr>
          <w:rFonts w:ascii="Times New Roman" w:eastAsia="Times New Roman" w:hAnsi="Times New Roman" w:cs="Times New Roman"/>
        </w:rPr>
      </w:pPr>
    </w:p>
    <w:p w14:paraId="000000C8" w14:textId="77777777" w:rsidR="00E73A2B" w:rsidRDefault="00E73A2B">
      <w:pPr>
        <w:spacing w:line="246" w:lineRule="auto"/>
        <w:rPr>
          <w:rFonts w:ascii="Times New Roman" w:eastAsia="Times New Roman" w:hAnsi="Times New Roman" w:cs="Times New Roman"/>
        </w:rPr>
      </w:pPr>
    </w:p>
    <w:tbl>
      <w:tblPr>
        <w:tblStyle w:val="af5"/>
        <w:tblW w:w="9360" w:type="dxa"/>
        <w:tblLayout w:type="fixed"/>
        <w:tblLook w:val="0000" w:firstRow="0" w:lastRow="0" w:firstColumn="0" w:lastColumn="0" w:noHBand="0" w:noVBand="0"/>
      </w:tblPr>
      <w:tblGrid>
        <w:gridCol w:w="5460"/>
        <w:gridCol w:w="3900"/>
      </w:tblGrid>
      <w:tr w:rsidR="00E73A2B" w14:paraId="6F9AF1FE" w14:textId="77777777">
        <w:trPr>
          <w:trHeight w:val="184"/>
        </w:trPr>
        <w:tc>
          <w:tcPr>
            <w:tcW w:w="5460" w:type="dxa"/>
            <w:shd w:val="clear" w:color="auto" w:fill="auto"/>
            <w:vAlign w:val="bottom"/>
          </w:tcPr>
          <w:p w14:paraId="000000C9" w14:textId="77777777" w:rsidR="00E73A2B" w:rsidRDefault="00A25CF8">
            <w:pPr>
              <w:rPr>
                <w:rFonts w:ascii="Arial" w:eastAsia="Arial" w:hAnsi="Arial"/>
                <w:sz w:val="16"/>
                <w:szCs w:val="16"/>
              </w:rPr>
            </w:pPr>
            <w:hyperlink w:anchor="bookmark=id.44sinio">
              <w:r>
                <w:rPr>
                  <w:rFonts w:ascii="Arial" w:eastAsia="Arial" w:hAnsi="Arial"/>
                  <w:sz w:val="16"/>
                  <w:szCs w:val="16"/>
                </w:rPr>
                <w:t>Chapter 8. Public Health</w:t>
              </w:r>
            </w:hyperlink>
          </w:p>
        </w:tc>
        <w:tc>
          <w:tcPr>
            <w:tcW w:w="3900" w:type="dxa"/>
            <w:shd w:val="clear" w:color="auto" w:fill="auto"/>
            <w:vAlign w:val="bottom"/>
          </w:tcPr>
          <w:p w14:paraId="000000CA" w14:textId="77777777" w:rsidR="00E73A2B" w:rsidRDefault="00A25CF8">
            <w:pPr>
              <w:jc w:val="right"/>
              <w:rPr>
                <w:rFonts w:ascii="Arial" w:eastAsia="Arial" w:hAnsi="Arial"/>
                <w:sz w:val="16"/>
                <w:szCs w:val="16"/>
              </w:rPr>
            </w:pPr>
            <w:r>
              <w:rPr>
                <w:rFonts w:ascii="Arial" w:eastAsia="Arial" w:hAnsi="Arial"/>
                <w:sz w:val="16"/>
                <w:szCs w:val="16"/>
              </w:rPr>
              <w:t>58</w:t>
            </w:r>
          </w:p>
        </w:tc>
      </w:tr>
    </w:tbl>
    <w:p w14:paraId="000000CB" w14:textId="77777777" w:rsidR="00E73A2B" w:rsidRDefault="00E73A2B">
      <w:pPr>
        <w:rPr>
          <w:rFonts w:ascii="Arial" w:eastAsia="Arial" w:hAnsi="Arial"/>
          <w:sz w:val="16"/>
          <w:szCs w:val="16"/>
        </w:rPr>
        <w:sectPr w:rsidR="00E73A2B">
          <w:pgSz w:w="12240" w:h="15840"/>
          <w:pgMar w:top="1440" w:right="1440" w:bottom="395" w:left="1440" w:header="0" w:footer="0" w:gutter="0"/>
          <w:cols w:space="720"/>
        </w:sectPr>
      </w:pPr>
    </w:p>
    <w:p w14:paraId="000000CC" w14:textId="77777777" w:rsidR="00E73A2B" w:rsidRDefault="00A25CF8">
      <w:pPr>
        <w:rPr>
          <w:rFonts w:ascii="Arial" w:eastAsia="Arial" w:hAnsi="Arial"/>
          <w:b/>
        </w:rPr>
      </w:pPr>
      <w:bookmarkStart w:id="9" w:name="bookmark=id.tyjcwt" w:colFirst="0" w:colLast="0"/>
      <w:bookmarkEnd w:id="9"/>
      <w:r>
        <w:rPr>
          <w:rFonts w:ascii="Arial" w:eastAsia="Arial" w:hAnsi="Arial"/>
          <w:b/>
        </w:rPr>
        <w:t>Table 3. Health Effects Associated with Carbon-Based Fuel Combustion Pollutants</w:t>
      </w:r>
    </w:p>
    <w:p w14:paraId="000000CD" w14:textId="77777777" w:rsidR="00E73A2B" w:rsidRDefault="00E73A2B">
      <w:pPr>
        <w:spacing w:line="183" w:lineRule="auto"/>
        <w:rPr>
          <w:rFonts w:ascii="Times New Roman" w:eastAsia="Times New Roman" w:hAnsi="Times New Roman" w:cs="Times New Roman"/>
        </w:rPr>
      </w:pPr>
    </w:p>
    <w:tbl>
      <w:tblPr>
        <w:tblStyle w:val="af6"/>
        <w:tblW w:w="9380" w:type="dxa"/>
        <w:tblInd w:w="10" w:type="dxa"/>
        <w:tblLayout w:type="fixed"/>
        <w:tblLook w:val="0000" w:firstRow="0" w:lastRow="0" w:firstColumn="0" w:lastColumn="0" w:noHBand="0" w:noVBand="0"/>
      </w:tblPr>
      <w:tblGrid>
        <w:gridCol w:w="2080"/>
        <w:gridCol w:w="7300"/>
      </w:tblGrid>
      <w:tr w:rsidR="00E73A2B" w14:paraId="26427DC8" w14:textId="77777777">
        <w:trPr>
          <w:trHeight w:val="237"/>
        </w:trPr>
        <w:tc>
          <w:tcPr>
            <w:tcW w:w="2080" w:type="dxa"/>
            <w:tcBorders>
              <w:top w:val="single" w:sz="8" w:space="0" w:color="000000"/>
              <w:left w:val="single" w:sz="8" w:space="0" w:color="000000"/>
              <w:right w:val="single" w:sz="8" w:space="0" w:color="000000"/>
            </w:tcBorders>
            <w:shd w:val="clear" w:color="auto" w:fill="auto"/>
            <w:vAlign w:val="bottom"/>
          </w:tcPr>
          <w:p w14:paraId="000000CE" w14:textId="77777777" w:rsidR="00E73A2B" w:rsidRDefault="00A25CF8">
            <w:pPr>
              <w:ind w:left="100"/>
              <w:rPr>
                <w:rFonts w:ascii="Arial" w:eastAsia="Arial" w:hAnsi="Arial"/>
                <w:b/>
              </w:rPr>
            </w:pPr>
            <w:r>
              <w:rPr>
                <w:rFonts w:ascii="Arial" w:eastAsia="Arial" w:hAnsi="Arial"/>
                <w:b/>
              </w:rPr>
              <w:t>Air Pollutant</w:t>
            </w:r>
          </w:p>
        </w:tc>
        <w:tc>
          <w:tcPr>
            <w:tcW w:w="7300" w:type="dxa"/>
            <w:tcBorders>
              <w:top w:val="single" w:sz="8" w:space="0" w:color="000000"/>
              <w:right w:val="single" w:sz="8" w:space="0" w:color="000000"/>
            </w:tcBorders>
            <w:shd w:val="clear" w:color="auto" w:fill="auto"/>
            <w:vAlign w:val="bottom"/>
          </w:tcPr>
          <w:p w14:paraId="000000CF" w14:textId="77777777" w:rsidR="00E73A2B" w:rsidRDefault="00A25CF8">
            <w:pPr>
              <w:ind w:left="40"/>
              <w:rPr>
                <w:rFonts w:ascii="Arial" w:eastAsia="Arial" w:hAnsi="Arial"/>
                <w:b/>
              </w:rPr>
            </w:pPr>
            <w:r>
              <w:rPr>
                <w:rFonts w:ascii="Arial" w:eastAsia="Arial" w:hAnsi="Arial"/>
                <w:b/>
              </w:rPr>
              <w:t>Human Health Effects</w:t>
            </w:r>
          </w:p>
        </w:tc>
      </w:tr>
      <w:tr w:rsidR="00E73A2B" w14:paraId="5FE039B2" w14:textId="77777777">
        <w:trPr>
          <w:trHeight w:val="202"/>
        </w:trPr>
        <w:tc>
          <w:tcPr>
            <w:tcW w:w="2080" w:type="dxa"/>
            <w:tcBorders>
              <w:left w:val="single" w:sz="8" w:space="0" w:color="000000"/>
              <w:bottom w:val="single" w:sz="8" w:space="0" w:color="000000"/>
              <w:right w:val="single" w:sz="8" w:space="0" w:color="000000"/>
            </w:tcBorders>
            <w:shd w:val="clear" w:color="auto" w:fill="auto"/>
            <w:vAlign w:val="bottom"/>
          </w:tcPr>
          <w:p w14:paraId="000000D0" w14:textId="77777777" w:rsidR="00E73A2B" w:rsidRDefault="00E73A2B">
            <w:pPr>
              <w:rPr>
                <w:rFonts w:ascii="Times New Roman" w:eastAsia="Times New Roman" w:hAnsi="Times New Roman" w:cs="Times New Roman"/>
                <w:sz w:val="17"/>
                <w:szCs w:val="17"/>
              </w:rPr>
            </w:pPr>
          </w:p>
        </w:tc>
        <w:tc>
          <w:tcPr>
            <w:tcW w:w="7300" w:type="dxa"/>
            <w:tcBorders>
              <w:bottom w:val="single" w:sz="8" w:space="0" w:color="000000"/>
              <w:right w:val="single" w:sz="8" w:space="0" w:color="000000"/>
            </w:tcBorders>
            <w:shd w:val="clear" w:color="auto" w:fill="auto"/>
            <w:vAlign w:val="bottom"/>
          </w:tcPr>
          <w:p w14:paraId="000000D1" w14:textId="77777777" w:rsidR="00E73A2B" w:rsidRDefault="00E73A2B">
            <w:pPr>
              <w:rPr>
                <w:rFonts w:ascii="Times New Roman" w:eastAsia="Times New Roman" w:hAnsi="Times New Roman" w:cs="Times New Roman"/>
                <w:sz w:val="17"/>
                <w:szCs w:val="17"/>
              </w:rPr>
            </w:pPr>
          </w:p>
        </w:tc>
      </w:tr>
      <w:tr w:rsidR="00E73A2B" w14:paraId="38124BEA" w14:textId="77777777">
        <w:trPr>
          <w:trHeight w:val="237"/>
        </w:trPr>
        <w:tc>
          <w:tcPr>
            <w:tcW w:w="2080" w:type="dxa"/>
            <w:tcBorders>
              <w:left w:val="single" w:sz="8" w:space="0" w:color="000000"/>
              <w:right w:val="single" w:sz="8" w:space="0" w:color="000000"/>
            </w:tcBorders>
            <w:shd w:val="clear" w:color="auto" w:fill="auto"/>
            <w:vAlign w:val="bottom"/>
          </w:tcPr>
          <w:p w14:paraId="000000D2" w14:textId="77777777" w:rsidR="00E73A2B" w:rsidRDefault="00E73A2B">
            <w:pPr>
              <w:rPr>
                <w:rFonts w:ascii="Times New Roman" w:eastAsia="Times New Roman" w:hAnsi="Times New Roman" w:cs="Times New Roman"/>
              </w:rPr>
            </w:pPr>
          </w:p>
        </w:tc>
        <w:tc>
          <w:tcPr>
            <w:tcW w:w="7300" w:type="dxa"/>
            <w:tcBorders>
              <w:right w:val="single" w:sz="8" w:space="0" w:color="000000"/>
            </w:tcBorders>
            <w:shd w:val="clear" w:color="auto" w:fill="auto"/>
            <w:vAlign w:val="bottom"/>
          </w:tcPr>
          <w:p w14:paraId="000000D3" w14:textId="77777777" w:rsidR="00E73A2B" w:rsidRDefault="00A25CF8">
            <w:pPr>
              <w:ind w:left="40"/>
              <w:rPr>
                <w:rFonts w:ascii="Arial" w:eastAsia="Arial" w:hAnsi="Arial"/>
                <w:sz w:val="18"/>
                <w:szCs w:val="18"/>
              </w:rPr>
            </w:pPr>
            <w:r>
              <w:rPr>
                <w:rFonts w:ascii="Arial" w:eastAsia="Arial" w:hAnsi="Arial"/>
                <w:sz w:val="18"/>
                <w:szCs w:val="18"/>
              </w:rPr>
              <w:t>Climate-related effects on morbidity and mortality (such as increased mold and pollen</w:t>
            </w:r>
          </w:p>
        </w:tc>
      </w:tr>
      <w:tr w:rsidR="00E73A2B" w14:paraId="30F71937" w14:textId="77777777">
        <w:trPr>
          <w:trHeight w:val="206"/>
        </w:trPr>
        <w:tc>
          <w:tcPr>
            <w:tcW w:w="2080" w:type="dxa"/>
            <w:tcBorders>
              <w:left w:val="single" w:sz="8" w:space="0" w:color="000000"/>
              <w:right w:val="single" w:sz="8" w:space="0" w:color="000000"/>
            </w:tcBorders>
            <w:shd w:val="clear" w:color="auto" w:fill="auto"/>
            <w:vAlign w:val="bottom"/>
          </w:tcPr>
          <w:p w14:paraId="000000D4" w14:textId="77777777" w:rsidR="00E73A2B" w:rsidRDefault="00A25CF8">
            <w:pPr>
              <w:ind w:left="100"/>
              <w:rPr>
                <w:rFonts w:ascii="Arial" w:eastAsia="Arial" w:hAnsi="Arial"/>
                <w:sz w:val="18"/>
                <w:szCs w:val="18"/>
              </w:rPr>
            </w:pPr>
            <w:r>
              <w:rPr>
                <w:rFonts w:ascii="Arial" w:eastAsia="Arial" w:hAnsi="Arial"/>
                <w:sz w:val="18"/>
                <w:szCs w:val="18"/>
              </w:rPr>
              <w:t>GHGs</w:t>
            </w:r>
          </w:p>
        </w:tc>
        <w:tc>
          <w:tcPr>
            <w:tcW w:w="7300" w:type="dxa"/>
            <w:tcBorders>
              <w:right w:val="single" w:sz="8" w:space="0" w:color="000000"/>
            </w:tcBorders>
            <w:shd w:val="clear" w:color="auto" w:fill="auto"/>
            <w:vAlign w:val="bottom"/>
          </w:tcPr>
          <w:p w14:paraId="000000D5" w14:textId="77777777" w:rsidR="00E73A2B" w:rsidRDefault="00A25CF8">
            <w:pPr>
              <w:ind w:left="40"/>
              <w:rPr>
                <w:rFonts w:ascii="Arial" w:eastAsia="Arial" w:hAnsi="Arial"/>
                <w:sz w:val="18"/>
                <w:szCs w:val="18"/>
              </w:rPr>
            </w:pPr>
            <w:r>
              <w:rPr>
                <w:rFonts w:ascii="Arial" w:eastAsia="Arial" w:hAnsi="Arial"/>
                <w:sz w:val="18"/>
                <w:szCs w:val="18"/>
              </w:rPr>
              <w:t>allergy incidence and severity, heat stress, heat-related mortality, vector-borne disease,</w:t>
            </w:r>
          </w:p>
        </w:tc>
      </w:tr>
      <w:tr w:rsidR="00E73A2B" w14:paraId="128F1838" w14:textId="77777777">
        <w:trPr>
          <w:trHeight w:val="206"/>
        </w:trPr>
        <w:tc>
          <w:tcPr>
            <w:tcW w:w="2080" w:type="dxa"/>
            <w:tcBorders>
              <w:left w:val="single" w:sz="8" w:space="0" w:color="000000"/>
              <w:right w:val="single" w:sz="8" w:space="0" w:color="000000"/>
            </w:tcBorders>
            <w:shd w:val="clear" w:color="auto" w:fill="auto"/>
            <w:vAlign w:val="bottom"/>
          </w:tcPr>
          <w:p w14:paraId="000000D6" w14:textId="77777777" w:rsidR="00E73A2B" w:rsidRDefault="00E73A2B">
            <w:pPr>
              <w:rPr>
                <w:rFonts w:ascii="Times New Roman" w:eastAsia="Times New Roman" w:hAnsi="Times New Roman" w:cs="Times New Roman"/>
                <w:sz w:val="17"/>
                <w:szCs w:val="17"/>
              </w:rPr>
            </w:pPr>
          </w:p>
        </w:tc>
        <w:tc>
          <w:tcPr>
            <w:tcW w:w="7300" w:type="dxa"/>
            <w:tcBorders>
              <w:right w:val="single" w:sz="8" w:space="0" w:color="000000"/>
            </w:tcBorders>
            <w:shd w:val="clear" w:color="auto" w:fill="auto"/>
            <w:vAlign w:val="bottom"/>
          </w:tcPr>
          <w:p w14:paraId="000000D7" w14:textId="77777777" w:rsidR="00E73A2B" w:rsidRDefault="00A25CF8">
            <w:pPr>
              <w:ind w:left="40"/>
              <w:rPr>
                <w:rFonts w:ascii="Arial" w:eastAsia="Arial" w:hAnsi="Arial"/>
                <w:sz w:val="18"/>
                <w:szCs w:val="18"/>
              </w:rPr>
            </w:pPr>
            <w:r>
              <w:rPr>
                <w:rFonts w:ascii="Arial" w:eastAsia="Arial" w:hAnsi="Arial"/>
                <w:sz w:val="18"/>
                <w:szCs w:val="18"/>
              </w:rPr>
              <w:t>injury, and death due to flooding)</w:t>
            </w:r>
          </w:p>
        </w:tc>
      </w:tr>
      <w:tr w:rsidR="00E73A2B" w14:paraId="16A0C987" w14:textId="77777777">
        <w:trPr>
          <w:trHeight w:val="43"/>
        </w:trPr>
        <w:tc>
          <w:tcPr>
            <w:tcW w:w="2080" w:type="dxa"/>
            <w:tcBorders>
              <w:left w:val="single" w:sz="8" w:space="0" w:color="000000"/>
              <w:bottom w:val="single" w:sz="8" w:space="0" w:color="000000"/>
              <w:right w:val="single" w:sz="8" w:space="0" w:color="000000"/>
            </w:tcBorders>
            <w:shd w:val="clear" w:color="auto" w:fill="auto"/>
            <w:vAlign w:val="bottom"/>
          </w:tcPr>
          <w:p w14:paraId="000000D8" w14:textId="77777777" w:rsidR="00E73A2B" w:rsidRDefault="00E73A2B">
            <w:pPr>
              <w:rPr>
                <w:rFonts w:ascii="Times New Roman" w:eastAsia="Times New Roman" w:hAnsi="Times New Roman" w:cs="Times New Roman"/>
                <w:sz w:val="3"/>
                <w:szCs w:val="3"/>
              </w:rPr>
            </w:pPr>
          </w:p>
        </w:tc>
        <w:tc>
          <w:tcPr>
            <w:tcW w:w="7300" w:type="dxa"/>
            <w:tcBorders>
              <w:bottom w:val="single" w:sz="8" w:space="0" w:color="000000"/>
              <w:right w:val="single" w:sz="8" w:space="0" w:color="000000"/>
            </w:tcBorders>
            <w:shd w:val="clear" w:color="auto" w:fill="auto"/>
            <w:vAlign w:val="bottom"/>
          </w:tcPr>
          <w:p w14:paraId="000000D9" w14:textId="77777777" w:rsidR="00E73A2B" w:rsidRDefault="00E73A2B">
            <w:pPr>
              <w:rPr>
                <w:rFonts w:ascii="Times New Roman" w:eastAsia="Times New Roman" w:hAnsi="Times New Roman" w:cs="Times New Roman"/>
                <w:sz w:val="3"/>
                <w:szCs w:val="3"/>
              </w:rPr>
            </w:pPr>
          </w:p>
        </w:tc>
      </w:tr>
      <w:tr w:rsidR="00E73A2B" w14:paraId="316007D3" w14:textId="77777777">
        <w:trPr>
          <w:trHeight w:val="299"/>
        </w:trPr>
        <w:tc>
          <w:tcPr>
            <w:tcW w:w="2080" w:type="dxa"/>
            <w:tcBorders>
              <w:left w:val="single" w:sz="8" w:space="0" w:color="000000"/>
              <w:bottom w:val="single" w:sz="8" w:space="0" w:color="000000"/>
              <w:right w:val="single" w:sz="8" w:space="0" w:color="000000"/>
            </w:tcBorders>
            <w:shd w:val="clear" w:color="auto" w:fill="auto"/>
            <w:vAlign w:val="bottom"/>
          </w:tcPr>
          <w:p w14:paraId="000000DA" w14:textId="77777777" w:rsidR="00E73A2B" w:rsidRDefault="00A25CF8">
            <w:pPr>
              <w:ind w:left="100"/>
              <w:rPr>
                <w:rFonts w:ascii="Arial" w:eastAsia="Arial" w:hAnsi="Arial"/>
                <w:sz w:val="25"/>
                <w:szCs w:val="25"/>
                <w:vertAlign w:val="superscript"/>
              </w:rPr>
            </w:pPr>
            <w:r>
              <w:rPr>
                <w:rFonts w:ascii="Arial" w:eastAsia="Arial" w:hAnsi="Arial"/>
                <w:sz w:val="18"/>
                <w:szCs w:val="18"/>
              </w:rPr>
              <w:t>Carbon monoxide</w:t>
            </w:r>
            <w:r>
              <w:rPr>
                <w:rFonts w:ascii="Arial" w:eastAsia="Arial" w:hAnsi="Arial"/>
                <w:sz w:val="25"/>
                <w:szCs w:val="25"/>
                <w:vertAlign w:val="superscript"/>
              </w:rPr>
              <w:t>94</w:t>
            </w:r>
          </w:p>
        </w:tc>
        <w:tc>
          <w:tcPr>
            <w:tcW w:w="7300" w:type="dxa"/>
            <w:tcBorders>
              <w:bottom w:val="single" w:sz="8" w:space="0" w:color="000000"/>
              <w:right w:val="single" w:sz="8" w:space="0" w:color="000000"/>
            </w:tcBorders>
            <w:shd w:val="clear" w:color="auto" w:fill="auto"/>
            <w:vAlign w:val="bottom"/>
          </w:tcPr>
          <w:p w14:paraId="000000DB" w14:textId="77777777" w:rsidR="00E73A2B" w:rsidRDefault="00A25CF8">
            <w:pPr>
              <w:ind w:left="40"/>
              <w:rPr>
                <w:rFonts w:ascii="Arial" w:eastAsia="Arial" w:hAnsi="Arial"/>
                <w:sz w:val="18"/>
                <w:szCs w:val="18"/>
              </w:rPr>
            </w:pPr>
            <w:r>
              <w:rPr>
                <w:rFonts w:ascii="Arial" w:eastAsia="Arial" w:hAnsi="Arial"/>
                <w:sz w:val="18"/>
                <w:szCs w:val="18"/>
              </w:rPr>
              <w:t>Likely effects on existing cardiovascular disease</w:t>
            </w:r>
          </w:p>
        </w:tc>
      </w:tr>
      <w:tr w:rsidR="00E73A2B" w14:paraId="4C1903F1" w14:textId="77777777">
        <w:trPr>
          <w:trHeight w:val="299"/>
        </w:trPr>
        <w:tc>
          <w:tcPr>
            <w:tcW w:w="2080" w:type="dxa"/>
            <w:tcBorders>
              <w:left w:val="single" w:sz="8" w:space="0" w:color="000000"/>
              <w:bottom w:val="single" w:sz="8" w:space="0" w:color="000000"/>
              <w:right w:val="single" w:sz="8" w:space="0" w:color="000000"/>
            </w:tcBorders>
            <w:shd w:val="clear" w:color="auto" w:fill="auto"/>
            <w:vAlign w:val="bottom"/>
          </w:tcPr>
          <w:p w14:paraId="000000DC" w14:textId="77777777" w:rsidR="00E73A2B" w:rsidRDefault="00A25CF8">
            <w:pPr>
              <w:ind w:left="100"/>
              <w:rPr>
                <w:rFonts w:ascii="Arial" w:eastAsia="Arial" w:hAnsi="Arial"/>
                <w:sz w:val="25"/>
                <w:szCs w:val="25"/>
                <w:vertAlign w:val="superscript"/>
              </w:rPr>
            </w:pPr>
            <w:r>
              <w:rPr>
                <w:rFonts w:ascii="Arial" w:eastAsia="Arial" w:hAnsi="Arial"/>
                <w:sz w:val="18"/>
                <w:szCs w:val="18"/>
              </w:rPr>
              <w:t>NO</w:t>
            </w:r>
            <w:r>
              <w:rPr>
                <w:rFonts w:ascii="Arial" w:eastAsia="Arial" w:hAnsi="Arial"/>
                <w:sz w:val="12"/>
                <w:szCs w:val="12"/>
              </w:rPr>
              <w:t>2</w:t>
            </w:r>
            <w:r>
              <w:rPr>
                <w:rFonts w:ascii="Arial" w:eastAsia="Arial" w:hAnsi="Arial"/>
                <w:sz w:val="25"/>
                <w:szCs w:val="25"/>
                <w:vertAlign w:val="superscript"/>
              </w:rPr>
              <w:t>95</w:t>
            </w:r>
          </w:p>
        </w:tc>
        <w:tc>
          <w:tcPr>
            <w:tcW w:w="7300" w:type="dxa"/>
            <w:tcBorders>
              <w:bottom w:val="single" w:sz="8" w:space="0" w:color="000000"/>
              <w:right w:val="single" w:sz="8" w:space="0" w:color="000000"/>
            </w:tcBorders>
            <w:shd w:val="clear" w:color="auto" w:fill="auto"/>
            <w:vAlign w:val="bottom"/>
          </w:tcPr>
          <w:p w14:paraId="000000DD" w14:textId="77777777" w:rsidR="00E73A2B" w:rsidRDefault="00A25CF8">
            <w:pPr>
              <w:ind w:left="40"/>
              <w:rPr>
                <w:rFonts w:ascii="Arial" w:eastAsia="Arial" w:hAnsi="Arial"/>
                <w:sz w:val="18"/>
                <w:szCs w:val="18"/>
              </w:rPr>
            </w:pPr>
            <w:r>
              <w:rPr>
                <w:rFonts w:ascii="Arial" w:eastAsia="Arial" w:hAnsi="Arial"/>
                <w:sz w:val="18"/>
                <w:szCs w:val="18"/>
              </w:rPr>
              <w:t>Respiratory effects</w:t>
            </w:r>
          </w:p>
        </w:tc>
      </w:tr>
      <w:tr w:rsidR="00E73A2B" w14:paraId="76B909AB" w14:textId="77777777">
        <w:trPr>
          <w:trHeight w:val="302"/>
        </w:trPr>
        <w:tc>
          <w:tcPr>
            <w:tcW w:w="2080" w:type="dxa"/>
            <w:tcBorders>
              <w:left w:val="single" w:sz="8" w:space="0" w:color="000000"/>
              <w:bottom w:val="single" w:sz="8" w:space="0" w:color="000000"/>
              <w:right w:val="single" w:sz="8" w:space="0" w:color="000000"/>
            </w:tcBorders>
            <w:shd w:val="clear" w:color="auto" w:fill="auto"/>
            <w:vAlign w:val="bottom"/>
          </w:tcPr>
          <w:p w14:paraId="000000DE" w14:textId="77777777" w:rsidR="00E73A2B" w:rsidRDefault="00A25CF8">
            <w:pPr>
              <w:ind w:left="100"/>
              <w:rPr>
                <w:rFonts w:ascii="Arial" w:eastAsia="Arial" w:hAnsi="Arial"/>
                <w:sz w:val="25"/>
                <w:szCs w:val="25"/>
                <w:vertAlign w:val="superscript"/>
              </w:rPr>
            </w:pPr>
            <w:r>
              <w:rPr>
                <w:rFonts w:ascii="Arial" w:eastAsia="Arial" w:hAnsi="Arial"/>
                <w:sz w:val="18"/>
                <w:szCs w:val="18"/>
              </w:rPr>
              <w:t>Ozone</w:t>
            </w:r>
            <w:r>
              <w:rPr>
                <w:rFonts w:ascii="Arial" w:eastAsia="Arial" w:hAnsi="Arial"/>
                <w:sz w:val="25"/>
                <w:szCs w:val="25"/>
                <w:vertAlign w:val="superscript"/>
              </w:rPr>
              <w:t>96</w:t>
            </w:r>
          </w:p>
        </w:tc>
        <w:tc>
          <w:tcPr>
            <w:tcW w:w="7300" w:type="dxa"/>
            <w:tcBorders>
              <w:bottom w:val="single" w:sz="8" w:space="0" w:color="000000"/>
              <w:right w:val="single" w:sz="8" w:space="0" w:color="000000"/>
            </w:tcBorders>
            <w:shd w:val="clear" w:color="auto" w:fill="auto"/>
            <w:vAlign w:val="bottom"/>
          </w:tcPr>
          <w:p w14:paraId="000000DF" w14:textId="77777777" w:rsidR="00E73A2B" w:rsidRDefault="00A25CF8">
            <w:pPr>
              <w:ind w:left="40"/>
              <w:rPr>
                <w:rFonts w:ascii="Arial" w:eastAsia="Arial" w:hAnsi="Arial"/>
                <w:sz w:val="18"/>
                <w:szCs w:val="18"/>
              </w:rPr>
            </w:pPr>
            <w:r>
              <w:rPr>
                <w:rFonts w:ascii="Arial" w:eastAsia="Arial" w:hAnsi="Arial"/>
                <w:sz w:val="18"/>
                <w:szCs w:val="18"/>
              </w:rPr>
              <w:t>Respiratory effects</w:t>
            </w:r>
          </w:p>
        </w:tc>
      </w:tr>
      <w:tr w:rsidR="00E73A2B" w14:paraId="33B4CC26" w14:textId="77777777">
        <w:trPr>
          <w:trHeight w:val="299"/>
        </w:trPr>
        <w:tc>
          <w:tcPr>
            <w:tcW w:w="2080" w:type="dxa"/>
            <w:tcBorders>
              <w:left w:val="single" w:sz="8" w:space="0" w:color="000000"/>
              <w:bottom w:val="single" w:sz="8" w:space="0" w:color="000000"/>
              <w:right w:val="single" w:sz="8" w:space="0" w:color="000000"/>
            </w:tcBorders>
            <w:shd w:val="clear" w:color="auto" w:fill="auto"/>
            <w:vAlign w:val="bottom"/>
          </w:tcPr>
          <w:p w14:paraId="000000E0" w14:textId="77777777" w:rsidR="00E73A2B" w:rsidRDefault="00A25CF8">
            <w:pPr>
              <w:ind w:left="100"/>
              <w:rPr>
                <w:rFonts w:ascii="Arial" w:eastAsia="Arial" w:hAnsi="Arial"/>
                <w:sz w:val="25"/>
                <w:szCs w:val="25"/>
                <w:vertAlign w:val="superscript"/>
              </w:rPr>
            </w:pPr>
            <w:r>
              <w:rPr>
                <w:rFonts w:ascii="Arial" w:eastAsia="Arial" w:hAnsi="Arial"/>
                <w:sz w:val="18"/>
                <w:szCs w:val="18"/>
              </w:rPr>
              <w:t>PM</w:t>
            </w:r>
            <w:r>
              <w:rPr>
                <w:rFonts w:ascii="Arial" w:eastAsia="Arial" w:hAnsi="Arial"/>
                <w:sz w:val="12"/>
                <w:szCs w:val="12"/>
              </w:rPr>
              <w:t>2.5</w:t>
            </w:r>
            <w:r>
              <w:rPr>
                <w:rFonts w:ascii="Arial" w:eastAsia="Arial" w:hAnsi="Arial"/>
                <w:sz w:val="25"/>
                <w:szCs w:val="25"/>
                <w:vertAlign w:val="superscript"/>
              </w:rPr>
              <w:t>97</w:t>
            </w:r>
          </w:p>
        </w:tc>
        <w:tc>
          <w:tcPr>
            <w:tcW w:w="7300" w:type="dxa"/>
            <w:tcBorders>
              <w:bottom w:val="single" w:sz="8" w:space="0" w:color="000000"/>
              <w:right w:val="single" w:sz="8" w:space="0" w:color="000000"/>
            </w:tcBorders>
            <w:shd w:val="clear" w:color="auto" w:fill="auto"/>
            <w:vAlign w:val="bottom"/>
          </w:tcPr>
          <w:p w14:paraId="000000E1" w14:textId="77777777" w:rsidR="00E73A2B" w:rsidRDefault="00A25CF8">
            <w:pPr>
              <w:ind w:left="40"/>
              <w:rPr>
                <w:rFonts w:ascii="Arial" w:eastAsia="Arial" w:hAnsi="Arial"/>
                <w:sz w:val="18"/>
                <w:szCs w:val="18"/>
              </w:rPr>
            </w:pPr>
            <w:r>
              <w:rPr>
                <w:rFonts w:ascii="Arial" w:eastAsia="Arial" w:hAnsi="Arial"/>
                <w:sz w:val="18"/>
                <w:szCs w:val="18"/>
              </w:rPr>
              <w:t>Cardiovascular effects and pre-mature mortality (cardio-pulmonary)</w:t>
            </w:r>
          </w:p>
        </w:tc>
      </w:tr>
      <w:tr w:rsidR="00E73A2B" w14:paraId="3A089E5A" w14:textId="77777777">
        <w:trPr>
          <w:trHeight w:val="299"/>
        </w:trPr>
        <w:tc>
          <w:tcPr>
            <w:tcW w:w="2080" w:type="dxa"/>
            <w:tcBorders>
              <w:left w:val="single" w:sz="8" w:space="0" w:color="000000"/>
              <w:bottom w:val="single" w:sz="8" w:space="0" w:color="000000"/>
              <w:right w:val="single" w:sz="8" w:space="0" w:color="000000"/>
            </w:tcBorders>
            <w:shd w:val="clear" w:color="auto" w:fill="auto"/>
            <w:vAlign w:val="bottom"/>
          </w:tcPr>
          <w:p w14:paraId="000000E2" w14:textId="77777777" w:rsidR="00E73A2B" w:rsidRDefault="00A25CF8">
            <w:pPr>
              <w:ind w:left="100"/>
              <w:rPr>
                <w:rFonts w:ascii="Arial" w:eastAsia="Arial" w:hAnsi="Arial"/>
                <w:sz w:val="25"/>
                <w:szCs w:val="25"/>
                <w:vertAlign w:val="superscript"/>
              </w:rPr>
            </w:pPr>
            <w:r>
              <w:rPr>
                <w:rFonts w:ascii="Arial" w:eastAsia="Arial" w:hAnsi="Arial"/>
                <w:sz w:val="18"/>
                <w:szCs w:val="18"/>
              </w:rPr>
              <w:t>SO</w:t>
            </w:r>
            <w:r>
              <w:rPr>
                <w:rFonts w:ascii="Arial" w:eastAsia="Arial" w:hAnsi="Arial"/>
                <w:sz w:val="12"/>
                <w:szCs w:val="12"/>
              </w:rPr>
              <w:t>2</w:t>
            </w:r>
            <w:r>
              <w:rPr>
                <w:rFonts w:ascii="Arial" w:eastAsia="Arial" w:hAnsi="Arial"/>
                <w:sz w:val="25"/>
                <w:szCs w:val="25"/>
                <w:vertAlign w:val="superscript"/>
              </w:rPr>
              <w:t>98</w:t>
            </w:r>
          </w:p>
        </w:tc>
        <w:tc>
          <w:tcPr>
            <w:tcW w:w="7300" w:type="dxa"/>
            <w:tcBorders>
              <w:bottom w:val="single" w:sz="8" w:space="0" w:color="000000"/>
              <w:right w:val="single" w:sz="8" w:space="0" w:color="000000"/>
            </w:tcBorders>
            <w:shd w:val="clear" w:color="auto" w:fill="auto"/>
            <w:vAlign w:val="bottom"/>
          </w:tcPr>
          <w:p w14:paraId="000000E3" w14:textId="77777777" w:rsidR="00E73A2B" w:rsidRDefault="00A25CF8">
            <w:pPr>
              <w:ind w:left="40"/>
              <w:rPr>
                <w:rFonts w:ascii="Arial" w:eastAsia="Arial" w:hAnsi="Arial"/>
                <w:sz w:val="18"/>
                <w:szCs w:val="18"/>
              </w:rPr>
            </w:pPr>
            <w:r>
              <w:rPr>
                <w:rFonts w:ascii="Arial" w:eastAsia="Arial" w:hAnsi="Arial"/>
                <w:sz w:val="18"/>
                <w:szCs w:val="18"/>
              </w:rPr>
              <w:t>Respiratory effects</w:t>
            </w:r>
          </w:p>
        </w:tc>
      </w:tr>
      <w:tr w:rsidR="00E73A2B" w14:paraId="77AFC6A6" w14:textId="77777777">
        <w:trPr>
          <w:trHeight w:val="302"/>
        </w:trPr>
        <w:tc>
          <w:tcPr>
            <w:tcW w:w="2080" w:type="dxa"/>
            <w:tcBorders>
              <w:left w:val="single" w:sz="8" w:space="0" w:color="000000"/>
              <w:bottom w:val="single" w:sz="8" w:space="0" w:color="000000"/>
              <w:right w:val="single" w:sz="8" w:space="0" w:color="000000"/>
            </w:tcBorders>
            <w:shd w:val="clear" w:color="auto" w:fill="auto"/>
            <w:vAlign w:val="bottom"/>
          </w:tcPr>
          <w:p w14:paraId="000000E4" w14:textId="77777777" w:rsidR="00E73A2B" w:rsidRDefault="00A25CF8">
            <w:pPr>
              <w:ind w:left="100"/>
              <w:rPr>
                <w:rFonts w:ascii="Arial" w:eastAsia="Arial" w:hAnsi="Arial"/>
                <w:sz w:val="25"/>
                <w:szCs w:val="25"/>
                <w:vertAlign w:val="superscript"/>
              </w:rPr>
            </w:pPr>
            <w:r>
              <w:rPr>
                <w:rFonts w:ascii="Arial" w:eastAsia="Arial" w:hAnsi="Arial"/>
                <w:sz w:val="18"/>
                <w:szCs w:val="18"/>
              </w:rPr>
              <w:t>Metals</w:t>
            </w:r>
            <w:r>
              <w:rPr>
                <w:rFonts w:ascii="Arial" w:eastAsia="Arial" w:hAnsi="Arial"/>
                <w:sz w:val="25"/>
                <w:szCs w:val="25"/>
                <w:vertAlign w:val="superscript"/>
              </w:rPr>
              <w:t>99</w:t>
            </w:r>
          </w:p>
        </w:tc>
        <w:tc>
          <w:tcPr>
            <w:tcW w:w="7300" w:type="dxa"/>
            <w:tcBorders>
              <w:bottom w:val="single" w:sz="8" w:space="0" w:color="000000"/>
              <w:right w:val="single" w:sz="8" w:space="0" w:color="000000"/>
            </w:tcBorders>
            <w:shd w:val="clear" w:color="auto" w:fill="auto"/>
            <w:vAlign w:val="bottom"/>
          </w:tcPr>
          <w:p w14:paraId="000000E5" w14:textId="77777777" w:rsidR="00E73A2B" w:rsidRDefault="00A25CF8">
            <w:pPr>
              <w:ind w:left="40"/>
              <w:rPr>
                <w:rFonts w:ascii="Arial" w:eastAsia="Arial" w:hAnsi="Arial"/>
                <w:sz w:val="18"/>
                <w:szCs w:val="18"/>
              </w:rPr>
            </w:pPr>
            <w:r>
              <w:rPr>
                <w:rFonts w:ascii="Arial" w:eastAsia="Arial" w:hAnsi="Arial"/>
                <w:sz w:val="18"/>
                <w:szCs w:val="18"/>
              </w:rPr>
              <w:t>Effects vary depending on specific metal</w:t>
            </w:r>
          </w:p>
        </w:tc>
      </w:tr>
      <w:tr w:rsidR="00E73A2B" w14:paraId="2D64B3FC" w14:textId="77777777">
        <w:trPr>
          <w:trHeight w:val="234"/>
        </w:trPr>
        <w:tc>
          <w:tcPr>
            <w:tcW w:w="2080" w:type="dxa"/>
            <w:tcBorders>
              <w:left w:val="single" w:sz="8" w:space="0" w:color="000000"/>
              <w:right w:val="single" w:sz="8" w:space="0" w:color="000000"/>
            </w:tcBorders>
            <w:shd w:val="clear" w:color="auto" w:fill="auto"/>
            <w:vAlign w:val="bottom"/>
          </w:tcPr>
          <w:p w14:paraId="000000E6" w14:textId="77777777" w:rsidR="00E73A2B" w:rsidRDefault="00A25CF8">
            <w:pPr>
              <w:ind w:left="100"/>
              <w:rPr>
                <w:rFonts w:ascii="Arial" w:eastAsia="Arial" w:hAnsi="Arial"/>
                <w:sz w:val="18"/>
                <w:szCs w:val="18"/>
              </w:rPr>
            </w:pPr>
            <w:r>
              <w:rPr>
                <w:rFonts w:ascii="Arial" w:eastAsia="Arial" w:hAnsi="Arial"/>
                <w:sz w:val="18"/>
                <w:szCs w:val="18"/>
              </w:rPr>
              <w:t>Polycyclic aromatic</w:t>
            </w:r>
          </w:p>
        </w:tc>
        <w:tc>
          <w:tcPr>
            <w:tcW w:w="7300" w:type="dxa"/>
            <w:vMerge w:val="restart"/>
            <w:tcBorders>
              <w:right w:val="single" w:sz="8" w:space="0" w:color="000000"/>
            </w:tcBorders>
            <w:shd w:val="clear" w:color="auto" w:fill="auto"/>
            <w:vAlign w:val="bottom"/>
          </w:tcPr>
          <w:p w14:paraId="000000E7" w14:textId="77777777" w:rsidR="00E73A2B" w:rsidRDefault="00A25CF8">
            <w:pPr>
              <w:ind w:left="40"/>
              <w:rPr>
                <w:rFonts w:ascii="Arial" w:eastAsia="Arial" w:hAnsi="Arial"/>
                <w:sz w:val="18"/>
                <w:szCs w:val="18"/>
              </w:rPr>
            </w:pPr>
            <w:r>
              <w:rPr>
                <w:rFonts w:ascii="Arial" w:eastAsia="Arial" w:hAnsi="Arial"/>
                <w:sz w:val="18"/>
                <w:szCs w:val="18"/>
              </w:rPr>
              <w:t>Cancer (not all polycyclic aromatic hydrocarbons)</w:t>
            </w:r>
          </w:p>
        </w:tc>
      </w:tr>
      <w:tr w:rsidR="00E73A2B" w14:paraId="0B5990C2" w14:textId="77777777">
        <w:trPr>
          <w:trHeight w:val="325"/>
        </w:trPr>
        <w:tc>
          <w:tcPr>
            <w:tcW w:w="2080" w:type="dxa"/>
            <w:vMerge w:val="restart"/>
            <w:tcBorders>
              <w:left w:val="single" w:sz="8" w:space="0" w:color="000000"/>
              <w:right w:val="single" w:sz="8" w:space="0" w:color="000000"/>
            </w:tcBorders>
            <w:shd w:val="clear" w:color="auto" w:fill="auto"/>
            <w:vAlign w:val="bottom"/>
          </w:tcPr>
          <w:p w14:paraId="000000E8" w14:textId="77777777" w:rsidR="00E73A2B" w:rsidRDefault="00A25CF8">
            <w:pPr>
              <w:spacing w:line="271" w:lineRule="auto"/>
              <w:ind w:left="100"/>
              <w:rPr>
                <w:rFonts w:ascii="Arial" w:eastAsia="Arial" w:hAnsi="Arial"/>
                <w:sz w:val="25"/>
                <w:szCs w:val="25"/>
                <w:vertAlign w:val="superscript"/>
              </w:rPr>
            </w:pPr>
            <w:r>
              <w:rPr>
                <w:rFonts w:ascii="Arial" w:eastAsia="Arial" w:hAnsi="Arial"/>
                <w:sz w:val="18"/>
                <w:szCs w:val="18"/>
              </w:rPr>
              <w:t>hydrocarbons</w:t>
            </w:r>
            <w:r>
              <w:rPr>
                <w:rFonts w:ascii="Arial" w:eastAsia="Arial" w:hAnsi="Arial"/>
                <w:sz w:val="25"/>
                <w:szCs w:val="25"/>
                <w:vertAlign w:val="superscript"/>
              </w:rPr>
              <w:t>100</w:t>
            </w:r>
          </w:p>
        </w:tc>
        <w:tc>
          <w:tcPr>
            <w:tcW w:w="7300" w:type="dxa"/>
            <w:vMerge/>
            <w:tcBorders>
              <w:right w:val="single" w:sz="8" w:space="0" w:color="000000"/>
            </w:tcBorders>
            <w:shd w:val="clear" w:color="auto" w:fill="auto"/>
            <w:vAlign w:val="bottom"/>
          </w:tcPr>
          <w:p w14:paraId="000000E9" w14:textId="77777777" w:rsidR="00E73A2B" w:rsidRDefault="00E73A2B">
            <w:pPr>
              <w:widowControl w:val="0"/>
              <w:pBdr>
                <w:top w:val="nil"/>
                <w:left w:val="nil"/>
                <w:bottom w:val="nil"/>
                <w:right w:val="nil"/>
                <w:between w:val="nil"/>
              </w:pBdr>
              <w:spacing w:line="276" w:lineRule="auto"/>
              <w:rPr>
                <w:rFonts w:ascii="Arial" w:eastAsia="Arial" w:hAnsi="Arial"/>
                <w:sz w:val="25"/>
                <w:szCs w:val="25"/>
                <w:vertAlign w:val="superscript"/>
              </w:rPr>
            </w:pPr>
          </w:p>
        </w:tc>
      </w:tr>
      <w:tr w:rsidR="00E73A2B" w14:paraId="06131D86" w14:textId="77777777">
        <w:trPr>
          <w:trHeight w:val="156"/>
        </w:trPr>
        <w:tc>
          <w:tcPr>
            <w:tcW w:w="2080" w:type="dxa"/>
            <w:vMerge/>
            <w:tcBorders>
              <w:left w:val="single" w:sz="8" w:space="0" w:color="000000"/>
              <w:right w:val="single" w:sz="8" w:space="0" w:color="000000"/>
            </w:tcBorders>
            <w:shd w:val="clear" w:color="auto" w:fill="auto"/>
            <w:vAlign w:val="bottom"/>
          </w:tcPr>
          <w:p w14:paraId="000000EA" w14:textId="77777777" w:rsidR="00E73A2B" w:rsidRDefault="00E73A2B">
            <w:pPr>
              <w:widowControl w:val="0"/>
              <w:pBdr>
                <w:top w:val="nil"/>
                <w:left w:val="nil"/>
                <w:bottom w:val="nil"/>
                <w:right w:val="nil"/>
                <w:between w:val="nil"/>
              </w:pBdr>
              <w:spacing w:line="276" w:lineRule="auto"/>
              <w:rPr>
                <w:rFonts w:ascii="Arial" w:eastAsia="Arial" w:hAnsi="Arial"/>
                <w:sz w:val="25"/>
                <w:szCs w:val="25"/>
                <w:vertAlign w:val="superscript"/>
              </w:rPr>
            </w:pPr>
          </w:p>
        </w:tc>
        <w:tc>
          <w:tcPr>
            <w:tcW w:w="7300" w:type="dxa"/>
            <w:tcBorders>
              <w:bottom w:val="single" w:sz="8" w:space="0" w:color="000000"/>
              <w:right w:val="single" w:sz="8" w:space="0" w:color="000000"/>
            </w:tcBorders>
            <w:shd w:val="clear" w:color="auto" w:fill="auto"/>
            <w:vAlign w:val="bottom"/>
          </w:tcPr>
          <w:p w14:paraId="000000EB" w14:textId="77777777" w:rsidR="00E73A2B" w:rsidRDefault="00E73A2B">
            <w:pPr>
              <w:rPr>
                <w:rFonts w:ascii="Times New Roman" w:eastAsia="Times New Roman" w:hAnsi="Times New Roman" w:cs="Times New Roman"/>
                <w:sz w:val="13"/>
                <w:szCs w:val="13"/>
              </w:rPr>
            </w:pPr>
          </w:p>
        </w:tc>
      </w:tr>
      <w:tr w:rsidR="00E73A2B" w14:paraId="26605641" w14:textId="77777777">
        <w:trPr>
          <w:trHeight w:val="234"/>
        </w:trPr>
        <w:tc>
          <w:tcPr>
            <w:tcW w:w="2080" w:type="dxa"/>
            <w:vMerge w:val="restart"/>
            <w:tcBorders>
              <w:left w:val="single" w:sz="8" w:space="0" w:color="000000"/>
              <w:right w:val="single" w:sz="8" w:space="0" w:color="000000"/>
            </w:tcBorders>
            <w:shd w:val="clear" w:color="auto" w:fill="auto"/>
            <w:vAlign w:val="bottom"/>
          </w:tcPr>
          <w:p w14:paraId="000000EC" w14:textId="77777777" w:rsidR="00E73A2B" w:rsidRDefault="00A25CF8">
            <w:pPr>
              <w:ind w:left="100"/>
              <w:rPr>
                <w:rFonts w:ascii="Arial" w:eastAsia="Arial" w:hAnsi="Arial"/>
                <w:sz w:val="25"/>
                <w:szCs w:val="25"/>
                <w:vertAlign w:val="superscript"/>
              </w:rPr>
            </w:pPr>
            <w:r>
              <w:rPr>
                <w:rFonts w:ascii="Arial" w:eastAsia="Arial" w:hAnsi="Arial"/>
                <w:sz w:val="18"/>
                <w:szCs w:val="18"/>
              </w:rPr>
              <w:t>VOCs</w:t>
            </w:r>
            <w:r>
              <w:rPr>
                <w:rFonts w:ascii="Arial" w:eastAsia="Arial" w:hAnsi="Arial"/>
                <w:sz w:val="25"/>
                <w:szCs w:val="25"/>
                <w:vertAlign w:val="superscript"/>
              </w:rPr>
              <w:t>101</w:t>
            </w:r>
          </w:p>
        </w:tc>
        <w:tc>
          <w:tcPr>
            <w:tcW w:w="7300" w:type="dxa"/>
            <w:tcBorders>
              <w:right w:val="single" w:sz="8" w:space="0" w:color="000000"/>
            </w:tcBorders>
            <w:shd w:val="clear" w:color="auto" w:fill="auto"/>
            <w:vAlign w:val="bottom"/>
          </w:tcPr>
          <w:p w14:paraId="000000ED" w14:textId="77777777" w:rsidR="00E73A2B" w:rsidRDefault="00A25CF8">
            <w:pPr>
              <w:ind w:left="40"/>
              <w:rPr>
                <w:rFonts w:ascii="Arial" w:eastAsia="Arial" w:hAnsi="Arial"/>
                <w:sz w:val="18"/>
                <w:szCs w:val="18"/>
              </w:rPr>
            </w:pPr>
            <w:r>
              <w:rPr>
                <w:rFonts w:ascii="Arial" w:eastAsia="Arial" w:hAnsi="Arial"/>
                <w:sz w:val="18"/>
                <w:szCs w:val="18"/>
              </w:rPr>
              <w:t>Effects vary depending on the specific chemical (some examples are central nervous</w:t>
            </w:r>
          </w:p>
        </w:tc>
      </w:tr>
      <w:tr w:rsidR="00E73A2B" w14:paraId="58D9B468" w14:textId="77777777">
        <w:trPr>
          <w:trHeight w:val="238"/>
        </w:trPr>
        <w:tc>
          <w:tcPr>
            <w:tcW w:w="2080" w:type="dxa"/>
            <w:vMerge/>
            <w:tcBorders>
              <w:left w:val="single" w:sz="8" w:space="0" w:color="000000"/>
              <w:right w:val="single" w:sz="8" w:space="0" w:color="000000"/>
            </w:tcBorders>
            <w:shd w:val="clear" w:color="auto" w:fill="auto"/>
            <w:vAlign w:val="bottom"/>
          </w:tcPr>
          <w:p w14:paraId="000000EE" w14:textId="77777777" w:rsidR="00E73A2B" w:rsidRDefault="00E73A2B">
            <w:pPr>
              <w:widowControl w:val="0"/>
              <w:pBdr>
                <w:top w:val="nil"/>
                <w:left w:val="nil"/>
                <w:bottom w:val="nil"/>
                <w:right w:val="nil"/>
                <w:between w:val="nil"/>
              </w:pBdr>
              <w:spacing w:line="276" w:lineRule="auto"/>
              <w:rPr>
                <w:rFonts w:ascii="Arial" w:eastAsia="Arial" w:hAnsi="Arial"/>
                <w:sz w:val="18"/>
                <w:szCs w:val="18"/>
              </w:rPr>
            </w:pPr>
          </w:p>
        </w:tc>
        <w:tc>
          <w:tcPr>
            <w:tcW w:w="7300" w:type="dxa"/>
            <w:vMerge w:val="restart"/>
            <w:tcBorders>
              <w:right w:val="single" w:sz="8" w:space="0" w:color="000000"/>
            </w:tcBorders>
            <w:shd w:val="clear" w:color="auto" w:fill="auto"/>
            <w:vAlign w:val="bottom"/>
          </w:tcPr>
          <w:p w14:paraId="000000EF" w14:textId="77777777" w:rsidR="00E73A2B" w:rsidRDefault="00A25CF8">
            <w:pPr>
              <w:ind w:left="40"/>
              <w:rPr>
                <w:rFonts w:ascii="Arial" w:eastAsia="Arial" w:hAnsi="Arial"/>
                <w:sz w:val="18"/>
                <w:szCs w:val="18"/>
              </w:rPr>
            </w:pPr>
            <w:r>
              <w:rPr>
                <w:rFonts w:ascii="Arial" w:eastAsia="Arial" w:hAnsi="Arial"/>
                <w:sz w:val="18"/>
                <w:szCs w:val="18"/>
              </w:rPr>
              <w:t>system effects; liver or kidney toxicity; eye, skin, and respiratory tract irritation; and cancer)</w:t>
            </w:r>
          </w:p>
        </w:tc>
      </w:tr>
      <w:tr w:rsidR="00E73A2B" w14:paraId="32EAEDD9" w14:textId="77777777">
        <w:trPr>
          <w:trHeight w:val="36"/>
        </w:trPr>
        <w:tc>
          <w:tcPr>
            <w:tcW w:w="2080" w:type="dxa"/>
            <w:tcBorders>
              <w:left w:val="single" w:sz="8" w:space="0" w:color="000000"/>
              <w:right w:val="single" w:sz="8" w:space="0" w:color="000000"/>
            </w:tcBorders>
            <w:shd w:val="clear" w:color="auto" w:fill="auto"/>
            <w:vAlign w:val="bottom"/>
          </w:tcPr>
          <w:p w14:paraId="000000F0" w14:textId="77777777" w:rsidR="00E73A2B" w:rsidRDefault="00E73A2B">
            <w:pPr>
              <w:rPr>
                <w:rFonts w:ascii="Times New Roman" w:eastAsia="Times New Roman" w:hAnsi="Times New Roman" w:cs="Times New Roman"/>
                <w:sz w:val="3"/>
                <w:szCs w:val="3"/>
              </w:rPr>
            </w:pPr>
          </w:p>
        </w:tc>
        <w:tc>
          <w:tcPr>
            <w:tcW w:w="7300" w:type="dxa"/>
            <w:vMerge/>
            <w:tcBorders>
              <w:right w:val="single" w:sz="8" w:space="0" w:color="000000"/>
            </w:tcBorders>
            <w:shd w:val="clear" w:color="auto" w:fill="auto"/>
            <w:vAlign w:val="bottom"/>
          </w:tcPr>
          <w:p w14:paraId="000000F1" w14:textId="77777777" w:rsidR="00E73A2B" w:rsidRDefault="00E73A2B">
            <w:pPr>
              <w:widowControl w:val="0"/>
              <w:pBdr>
                <w:top w:val="nil"/>
                <w:left w:val="nil"/>
                <w:bottom w:val="nil"/>
                <w:right w:val="nil"/>
                <w:between w:val="nil"/>
              </w:pBdr>
              <w:spacing w:line="276" w:lineRule="auto"/>
              <w:rPr>
                <w:rFonts w:ascii="Times New Roman" w:eastAsia="Times New Roman" w:hAnsi="Times New Roman" w:cs="Times New Roman"/>
                <w:sz w:val="3"/>
                <w:szCs w:val="3"/>
              </w:rPr>
            </w:pPr>
          </w:p>
        </w:tc>
      </w:tr>
      <w:tr w:rsidR="00E73A2B" w14:paraId="79B35F2B" w14:textId="77777777">
        <w:trPr>
          <w:trHeight w:val="43"/>
        </w:trPr>
        <w:tc>
          <w:tcPr>
            <w:tcW w:w="2080" w:type="dxa"/>
            <w:tcBorders>
              <w:left w:val="single" w:sz="8" w:space="0" w:color="000000"/>
              <w:bottom w:val="single" w:sz="8" w:space="0" w:color="000000"/>
              <w:right w:val="single" w:sz="8" w:space="0" w:color="000000"/>
            </w:tcBorders>
            <w:shd w:val="clear" w:color="auto" w:fill="auto"/>
            <w:vAlign w:val="bottom"/>
          </w:tcPr>
          <w:p w14:paraId="000000F2" w14:textId="77777777" w:rsidR="00E73A2B" w:rsidRDefault="00E73A2B">
            <w:pPr>
              <w:rPr>
                <w:rFonts w:ascii="Times New Roman" w:eastAsia="Times New Roman" w:hAnsi="Times New Roman" w:cs="Times New Roman"/>
                <w:sz w:val="3"/>
                <w:szCs w:val="3"/>
              </w:rPr>
            </w:pPr>
          </w:p>
        </w:tc>
        <w:tc>
          <w:tcPr>
            <w:tcW w:w="7300" w:type="dxa"/>
            <w:tcBorders>
              <w:bottom w:val="single" w:sz="8" w:space="0" w:color="000000"/>
              <w:right w:val="single" w:sz="8" w:space="0" w:color="000000"/>
            </w:tcBorders>
            <w:shd w:val="clear" w:color="auto" w:fill="auto"/>
            <w:vAlign w:val="bottom"/>
          </w:tcPr>
          <w:p w14:paraId="000000F3" w14:textId="77777777" w:rsidR="00E73A2B" w:rsidRDefault="00E73A2B">
            <w:pPr>
              <w:rPr>
                <w:rFonts w:ascii="Times New Roman" w:eastAsia="Times New Roman" w:hAnsi="Times New Roman" w:cs="Times New Roman"/>
                <w:sz w:val="3"/>
                <w:szCs w:val="3"/>
              </w:rPr>
            </w:pPr>
          </w:p>
        </w:tc>
      </w:tr>
    </w:tbl>
    <w:p w14:paraId="000000F4" w14:textId="77777777" w:rsidR="00E73A2B" w:rsidRDefault="00E73A2B">
      <w:pPr>
        <w:spacing w:line="200" w:lineRule="auto"/>
        <w:rPr>
          <w:rFonts w:ascii="Times New Roman" w:eastAsia="Times New Roman" w:hAnsi="Times New Roman" w:cs="Times New Roman"/>
        </w:rPr>
      </w:pPr>
    </w:p>
    <w:p w14:paraId="000000F5" w14:textId="77777777" w:rsidR="00E73A2B" w:rsidRDefault="00E73A2B">
      <w:pPr>
        <w:spacing w:line="305" w:lineRule="auto"/>
        <w:rPr>
          <w:rFonts w:ascii="Times New Roman" w:eastAsia="Times New Roman" w:hAnsi="Times New Roman" w:cs="Times New Roman"/>
        </w:rPr>
      </w:pPr>
    </w:p>
    <w:p w14:paraId="000000F6" w14:textId="77777777" w:rsidR="00E73A2B" w:rsidRDefault="00A25CF8">
      <w:pPr>
        <w:spacing w:line="377" w:lineRule="auto"/>
        <w:ind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Many VOCs, such as toluene, can cause central nervous system effects, and some, like benzene, are carcinogens. In addition to VOCs and GHGs (discussed earlier), non-criteria pollutants that can be emitted from fuel combustion include chlorinated dibenzo-p-</w:t>
      </w:r>
      <w:r>
        <w:rPr>
          <w:rFonts w:ascii="Times New Roman" w:eastAsia="Times New Roman" w:hAnsi="Times New Roman" w:cs="Times New Roman"/>
          <w:sz w:val="21"/>
          <w:szCs w:val="21"/>
        </w:rPr>
        <w:t>dioxins, chlorinated dibenzofurans, polycyclic aromatic hydrocarbons, and various metals, particularly mercury from coal combustion. Exposure to high levels of chlorinated dioxins and furans is associated with cancer and effects on the liver and skin. Heal</w:t>
      </w:r>
      <w:r>
        <w:rPr>
          <w:rFonts w:ascii="Times New Roman" w:eastAsia="Times New Roman" w:hAnsi="Times New Roman" w:cs="Times New Roman"/>
          <w:sz w:val="21"/>
          <w:szCs w:val="21"/>
        </w:rPr>
        <w:t>th effects associated with exposure to metals vary by the metal. For example, mercury, after being transformed to methylmercury in the environment and entering the food chain, can cause effects on the nervous system, especially for children and fetuses. Ex</w:t>
      </w:r>
      <w:r>
        <w:rPr>
          <w:rFonts w:ascii="Times New Roman" w:eastAsia="Times New Roman" w:hAnsi="Times New Roman" w:cs="Times New Roman"/>
          <w:sz w:val="21"/>
          <w:szCs w:val="21"/>
        </w:rPr>
        <w:t>posure to high levels of some polycyclic aromatic hydrocarbons is associated with lung cancer. Modeling changes in health outcomes associated</w:t>
      </w:r>
    </w:p>
    <w:p w14:paraId="000000F7" w14:textId="77777777" w:rsidR="00E73A2B" w:rsidRDefault="00A25CF8">
      <w:pPr>
        <w:spacing w:line="20" w:lineRule="auto"/>
        <w:rPr>
          <w:rFonts w:ascii="Times New Roman" w:eastAsia="Times New Roman" w:hAnsi="Times New Roman" w:cs="Times New Roman"/>
        </w:rPr>
      </w:pPr>
      <w:r>
        <w:rPr>
          <w:noProof/>
        </w:rPr>
        <mc:AlternateContent>
          <mc:Choice Requires="wpg">
            <w:drawing>
              <wp:anchor distT="0" distB="0" distL="0" distR="0" simplePos="0" relativeHeight="251664384" behindDoc="1" locked="0" layoutInCell="1" hidden="0" allowOverlap="1">
                <wp:simplePos x="0" y="0"/>
                <wp:positionH relativeFrom="column">
                  <wp:posOffset>0</wp:posOffset>
                </wp:positionH>
                <wp:positionV relativeFrom="paragraph">
                  <wp:posOffset>825500</wp:posOffset>
                </wp:positionV>
                <wp:extent cx="1838325" cy="22225"/>
                <wp:effectExtent l="0" t="0" r="0" b="0"/>
                <wp:wrapNone/>
                <wp:docPr id="40" name=""/>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825500</wp:posOffset>
                </wp:positionV>
                <wp:extent cx="1838325" cy="22225"/>
                <wp:effectExtent b="0" l="0" r="0" t="0"/>
                <wp:wrapNone/>
                <wp:docPr id="40" name="image8.png"/>
                <a:graphic>
                  <a:graphicData uri="http://schemas.openxmlformats.org/drawingml/2006/picture">
                    <pic:pic>
                      <pic:nvPicPr>
                        <pic:cNvPr id="0" name="image8.png"/>
                        <pic:cNvPicPr preferRelativeResize="0"/>
                      </pic:nvPicPr>
                      <pic:blipFill>
                        <a:blip r:embed="rId18"/>
                        <a:srcRect/>
                        <a:stretch>
                          <a:fillRect/>
                        </a:stretch>
                      </pic:blipFill>
                      <pic:spPr>
                        <a:xfrm>
                          <a:off x="0" y="0"/>
                          <a:ext cx="1838325" cy="22225"/>
                        </a:xfrm>
                        <a:prstGeom prst="rect"/>
                        <a:ln/>
                      </pic:spPr>
                    </pic:pic>
                  </a:graphicData>
                </a:graphic>
              </wp:anchor>
            </w:drawing>
          </mc:Fallback>
        </mc:AlternateContent>
      </w:r>
    </w:p>
    <w:p w14:paraId="000000F8" w14:textId="77777777" w:rsidR="00E73A2B" w:rsidRDefault="00E73A2B">
      <w:pPr>
        <w:spacing w:line="200" w:lineRule="auto"/>
        <w:rPr>
          <w:rFonts w:ascii="Times New Roman" w:eastAsia="Times New Roman" w:hAnsi="Times New Roman" w:cs="Times New Roman"/>
        </w:rPr>
      </w:pPr>
    </w:p>
    <w:p w14:paraId="000000F9" w14:textId="77777777" w:rsidR="00E73A2B" w:rsidRDefault="00E73A2B">
      <w:pPr>
        <w:spacing w:line="200" w:lineRule="auto"/>
        <w:rPr>
          <w:rFonts w:ascii="Times New Roman" w:eastAsia="Times New Roman" w:hAnsi="Times New Roman" w:cs="Times New Roman"/>
        </w:rPr>
      </w:pPr>
    </w:p>
    <w:p w14:paraId="000000FA" w14:textId="77777777" w:rsidR="00E73A2B" w:rsidRDefault="00E73A2B">
      <w:pPr>
        <w:spacing w:line="200" w:lineRule="auto"/>
        <w:rPr>
          <w:rFonts w:ascii="Times New Roman" w:eastAsia="Times New Roman" w:hAnsi="Times New Roman" w:cs="Times New Roman"/>
        </w:rPr>
      </w:pPr>
    </w:p>
    <w:p w14:paraId="000000FB" w14:textId="77777777" w:rsidR="00E73A2B" w:rsidRDefault="00E73A2B">
      <w:pPr>
        <w:spacing w:line="200" w:lineRule="auto"/>
        <w:rPr>
          <w:rFonts w:ascii="Times New Roman" w:eastAsia="Times New Roman" w:hAnsi="Times New Roman" w:cs="Times New Roman"/>
        </w:rPr>
      </w:pPr>
    </w:p>
    <w:p w14:paraId="000000FC" w14:textId="77777777" w:rsidR="00E73A2B" w:rsidRDefault="00E73A2B">
      <w:pPr>
        <w:spacing w:line="200" w:lineRule="auto"/>
        <w:rPr>
          <w:rFonts w:ascii="Times New Roman" w:eastAsia="Times New Roman" w:hAnsi="Times New Roman" w:cs="Times New Roman"/>
        </w:rPr>
      </w:pPr>
    </w:p>
    <w:p w14:paraId="000000FD" w14:textId="77777777" w:rsidR="00E73A2B" w:rsidRDefault="00E73A2B">
      <w:pPr>
        <w:spacing w:line="200" w:lineRule="auto"/>
        <w:rPr>
          <w:rFonts w:ascii="Times New Roman" w:eastAsia="Times New Roman" w:hAnsi="Times New Roman" w:cs="Times New Roman"/>
        </w:rPr>
      </w:pPr>
    </w:p>
    <w:p w14:paraId="000000FE" w14:textId="77777777" w:rsidR="00E73A2B" w:rsidRDefault="00E73A2B">
      <w:pPr>
        <w:spacing w:line="305" w:lineRule="auto"/>
        <w:rPr>
          <w:rFonts w:ascii="Times New Roman" w:eastAsia="Times New Roman" w:hAnsi="Times New Roman" w:cs="Times New Roman"/>
        </w:rPr>
      </w:pPr>
    </w:p>
    <w:p w14:paraId="000000FF" w14:textId="77777777" w:rsidR="00E73A2B" w:rsidRDefault="00A25CF8">
      <w:pPr>
        <w:numPr>
          <w:ilvl w:val="0"/>
          <w:numId w:val="2"/>
        </w:numPr>
        <w:tabs>
          <w:tab w:val="left" w:pos="200"/>
        </w:tabs>
        <w:ind w:left="200" w:hanging="200"/>
        <w:rPr>
          <w:rFonts w:ascii="Arial" w:eastAsia="Arial" w:hAnsi="Arial"/>
          <w:sz w:val="26"/>
          <w:szCs w:val="26"/>
          <w:vertAlign w:val="superscript"/>
        </w:rPr>
      </w:pPr>
      <w:r>
        <w:rPr>
          <w:rFonts w:ascii="Times New Roman" w:eastAsia="Times New Roman" w:hAnsi="Times New Roman" w:cs="Times New Roman"/>
          <w:sz w:val="18"/>
          <w:szCs w:val="18"/>
        </w:rPr>
        <w:t>EPA. EPA/600/R-019F/January 2010: Integrated Science Assessment for Carbon Monoxide, 2010.</w:t>
      </w:r>
    </w:p>
    <w:p w14:paraId="00000100" w14:textId="77777777" w:rsidR="00E73A2B" w:rsidRDefault="00E73A2B">
      <w:pPr>
        <w:spacing w:line="97" w:lineRule="auto"/>
        <w:rPr>
          <w:rFonts w:ascii="Arial" w:eastAsia="Arial" w:hAnsi="Arial"/>
          <w:sz w:val="26"/>
          <w:szCs w:val="26"/>
          <w:vertAlign w:val="superscript"/>
        </w:rPr>
      </w:pPr>
    </w:p>
    <w:p w14:paraId="00000101" w14:textId="77777777" w:rsidR="00E73A2B" w:rsidRDefault="00A25CF8">
      <w:pPr>
        <w:numPr>
          <w:ilvl w:val="0"/>
          <w:numId w:val="2"/>
        </w:numPr>
        <w:tabs>
          <w:tab w:val="left" w:pos="200"/>
        </w:tabs>
        <w:spacing w:line="186" w:lineRule="auto"/>
        <w:ind w:left="200" w:hanging="200"/>
        <w:rPr>
          <w:rFonts w:ascii="Arial" w:eastAsia="Arial" w:hAnsi="Arial"/>
          <w:sz w:val="24"/>
          <w:szCs w:val="24"/>
          <w:vertAlign w:val="superscript"/>
        </w:rPr>
      </w:pPr>
      <w:r>
        <w:rPr>
          <w:rFonts w:ascii="Times New Roman" w:eastAsia="Times New Roman" w:hAnsi="Times New Roman" w:cs="Times New Roman"/>
          <w:sz w:val="17"/>
          <w:szCs w:val="17"/>
        </w:rPr>
        <w:t>EPA. EPA/600/R-15-068/January 2016: Integrated Science Assessment for Oxides of Nitrogen – Health criteria, 2016.</w:t>
      </w:r>
    </w:p>
    <w:p w14:paraId="00000102" w14:textId="77777777" w:rsidR="00E73A2B" w:rsidRDefault="00E73A2B">
      <w:pPr>
        <w:spacing w:line="113" w:lineRule="auto"/>
        <w:rPr>
          <w:rFonts w:ascii="Arial" w:eastAsia="Arial" w:hAnsi="Arial"/>
          <w:sz w:val="24"/>
          <w:szCs w:val="24"/>
          <w:vertAlign w:val="superscript"/>
        </w:rPr>
      </w:pPr>
    </w:p>
    <w:p w14:paraId="00000103" w14:textId="77777777" w:rsidR="00E73A2B" w:rsidRDefault="00A25CF8">
      <w:pPr>
        <w:numPr>
          <w:ilvl w:val="0"/>
          <w:numId w:val="2"/>
        </w:numPr>
        <w:tabs>
          <w:tab w:val="left" w:pos="198"/>
        </w:tabs>
        <w:spacing w:line="193" w:lineRule="auto"/>
        <w:ind w:left="280" w:right="600" w:hanging="280"/>
        <w:rPr>
          <w:rFonts w:ascii="Arial" w:eastAsia="Arial" w:hAnsi="Arial"/>
          <w:sz w:val="26"/>
          <w:szCs w:val="26"/>
          <w:vertAlign w:val="superscript"/>
        </w:rPr>
      </w:pPr>
      <w:r>
        <w:rPr>
          <w:rFonts w:ascii="Times New Roman" w:eastAsia="Times New Roman" w:hAnsi="Times New Roman" w:cs="Times New Roman"/>
          <w:sz w:val="18"/>
          <w:szCs w:val="18"/>
        </w:rPr>
        <w:t>EPA/600/R-20/012, April 2020 U.S. EPA. Integrated Science Assessment (ISA) for Ozone and Related Photochemical Oxidants, 2020</w:t>
      </w:r>
    </w:p>
    <w:p w14:paraId="00000104" w14:textId="77777777" w:rsidR="00E73A2B" w:rsidRDefault="00E73A2B">
      <w:pPr>
        <w:spacing w:line="14" w:lineRule="auto"/>
        <w:rPr>
          <w:rFonts w:ascii="Arial" w:eastAsia="Arial" w:hAnsi="Arial"/>
          <w:sz w:val="26"/>
          <w:szCs w:val="26"/>
          <w:vertAlign w:val="superscript"/>
        </w:rPr>
      </w:pPr>
    </w:p>
    <w:p w14:paraId="00000105" w14:textId="77777777" w:rsidR="00E73A2B" w:rsidRDefault="00A25CF8">
      <w:pPr>
        <w:numPr>
          <w:ilvl w:val="0"/>
          <w:numId w:val="2"/>
        </w:numPr>
        <w:tabs>
          <w:tab w:val="left" w:pos="200"/>
        </w:tabs>
        <w:ind w:left="200" w:hanging="200"/>
        <w:rPr>
          <w:rFonts w:ascii="Arial" w:eastAsia="Arial" w:hAnsi="Arial"/>
          <w:sz w:val="26"/>
          <w:szCs w:val="26"/>
          <w:vertAlign w:val="superscript"/>
        </w:rPr>
      </w:pPr>
      <w:r>
        <w:rPr>
          <w:rFonts w:ascii="Times New Roman" w:eastAsia="Times New Roman" w:hAnsi="Times New Roman" w:cs="Times New Roman"/>
          <w:sz w:val="18"/>
          <w:szCs w:val="18"/>
        </w:rPr>
        <w:t>EPA. EPA/600/R</w:t>
      </w:r>
      <w:r>
        <w:rPr>
          <w:rFonts w:ascii="Times New Roman" w:eastAsia="Times New Roman" w:hAnsi="Times New Roman" w:cs="Times New Roman"/>
          <w:sz w:val="18"/>
          <w:szCs w:val="18"/>
        </w:rPr>
        <w:t>-19/188, December 2019: Integrated Science Assessment (ISA) for Particulate Matter, 2019.</w:t>
      </w:r>
    </w:p>
    <w:p w14:paraId="00000106" w14:textId="77777777" w:rsidR="00E73A2B" w:rsidRDefault="00E73A2B">
      <w:pPr>
        <w:spacing w:line="97" w:lineRule="auto"/>
        <w:rPr>
          <w:rFonts w:ascii="Arial" w:eastAsia="Arial" w:hAnsi="Arial"/>
          <w:sz w:val="26"/>
          <w:szCs w:val="26"/>
          <w:vertAlign w:val="superscript"/>
        </w:rPr>
      </w:pPr>
    </w:p>
    <w:p w14:paraId="00000107" w14:textId="77777777" w:rsidR="00E73A2B" w:rsidRDefault="00A25CF8">
      <w:pPr>
        <w:numPr>
          <w:ilvl w:val="0"/>
          <w:numId w:val="2"/>
        </w:numPr>
        <w:tabs>
          <w:tab w:val="left" w:pos="200"/>
        </w:tabs>
        <w:spacing w:line="184" w:lineRule="auto"/>
        <w:ind w:left="200" w:hanging="200"/>
        <w:rPr>
          <w:rFonts w:ascii="Arial" w:eastAsia="Arial" w:hAnsi="Arial"/>
          <w:sz w:val="24"/>
          <w:szCs w:val="24"/>
          <w:vertAlign w:val="superscript"/>
        </w:rPr>
      </w:pPr>
      <w:r>
        <w:rPr>
          <w:rFonts w:ascii="Times New Roman" w:eastAsia="Times New Roman" w:hAnsi="Times New Roman" w:cs="Times New Roman"/>
          <w:sz w:val="17"/>
          <w:szCs w:val="17"/>
        </w:rPr>
        <w:t>EPA. EPA/600/R-17/451/December 2017.: Integrated Science Assessment for Sulfur Oxides- Health Criteria.</w:t>
      </w:r>
    </w:p>
    <w:p w14:paraId="00000108" w14:textId="77777777" w:rsidR="00E73A2B" w:rsidRDefault="00E73A2B">
      <w:pPr>
        <w:spacing w:line="113" w:lineRule="auto"/>
        <w:rPr>
          <w:rFonts w:ascii="Arial" w:eastAsia="Arial" w:hAnsi="Arial"/>
          <w:sz w:val="24"/>
          <w:szCs w:val="24"/>
          <w:vertAlign w:val="superscript"/>
        </w:rPr>
      </w:pPr>
    </w:p>
    <w:p w14:paraId="00000109" w14:textId="77777777" w:rsidR="00E73A2B" w:rsidRDefault="00A25CF8">
      <w:pPr>
        <w:numPr>
          <w:ilvl w:val="0"/>
          <w:numId w:val="2"/>
        </w:numPr>
        <w:tabs>
          <w:tab w:val="left" w:pos="198"/>
        </w:tabs>
        <w:spacing w:line="194" w:lineRule="auto"/>
        <w:ind w:left="280" w:right="80" w:hanging="2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Agency for Toxic Substances and Disease Registry (ATSDR), U.S. Department of Health and Human Services. Toxicological Profiles for Specific Metals. </w:t>
      </w:r>
      <w:hyperlink r:id="rId19">
        <w:r>
          <w:rPr>
            <w:rFonts w:ascii="Times New Roman" w:eastAsia="Times New Roman" w:hAnsi="Times New Roman" w:cs="Times New Roman"/>
            <w:sz w:val="18"/>
            <w:szCs w:val="18"/>
          </w:rPr>
          <w:t>http://www.atsdr.cdc.gov/toxprofiles/index</w:t>
        </w:r>
        <w:r>
          <w:rPr>
            <w:rFonts w:ascii="Times New Roman" w:eastAsia="Times New Roman" w:hAnsi="Times New Roman" w:cs="Times New Roman"/>
            <w:sz w:val="18"/>
            <w:szCs w:val="18"/>
          </w:rPr>
          <w:t>.asp.</w:t>
        </w:r>
      </w:hyperlink>
    </w:p>
    <w:p w14:paraId="0000010A" w14:textId="77777777" w:rsidR="00E73A2B" w:rsidRDefault="00E73A2B">
      <w:pPr>
        <w:spacing w:line="41" w:lineRule="auto"/>
        <w:rPr>
          <w:rFonts w:ascii="Times New Roman" w:eastAsia="Times New Roman" w:hAnsi="Times New Roman" w:cs="Times New Roman"/>
          <w:sz w:val="18"/>
          <w:szCs w:val="18"/>
        </w:rPr>
      </w:pPr>
    </w:p>
    <w:p w14:paraId="0000010B" w14:textId="77777777" w:rsidR="00E73A2B" w:rsidRDefault="00A25CF8">
      <w:pPr>
        <w:numPr>
          <w:ilvl w:val="0"/>
          <w:numId w:val="2"/>
        </w:numPr>
        <w:tabs>
          <w:tab w:val="left" w:pos="260"/>
        </w:tabs>
        <w:ind w:left="260" w:hanging="26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ATSDR. Toxicological Profiles for specific PAHs: </w:t>
      </w:r>
      <w:hyperlink r:id="rId20">
        <w:r>
          <w:rPr>
            <w:rFonts w:ascii="Times New Roman" w:eastAsia="Times New Roman" w:hAnsi="Times New Roman" w:cs="Times New Roman"/>
            <w:sz w:val="16"/>
            <w:szCs w:val="16"/>
          </w:rPr>
          <w:t>http://www.atsdr.cdc.gov/toxprofiles/index.asp.</w:t>
        </w:r>
      </w:hyperlink>
    </w:p>
    <w:p w14:paraId="0000010C" w14:textId="77777777" w:rsidR="00E73A2B" w:rsidRDefault="00E73A2B">
      <w:pPr>
        <w:spacing w:line="97" w:lineRule="auto"/>
        <w:rPr>
          <w:rFonts w:ascii="Times New Roman" w:eastAsia="Times New Roman" w:hAnsi="Times New Roman" w:cs="Times New Roman"/>
          <w:sz w:val="16"/>
          <w:szCs w:val="16"/>
        </w:rPr>
      </w:pPr>
    </w:p>
    <w:p w14:paraId="0000010D" w14:textId="77777777" w:rsidR="00E73A2B" w:rsidRDefault="00A25CF8">
      <w:pPr>
        <w:numPr>
          <w:ilvl w:val="0"/>
          <w:numId w:val="2"/>
        </w:numPr>
        <w:tabs>
          <w:tab w:val="left" w:pos="260"/>
        </w:tabs>
        <w:spacing w:line="192" w:lineRule="auto"/>
        <w:ind w:left="260" w:hanging="26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ATSDR. Toxicological Profiles for specific VOCs: </w:t>
      </w:r>
      <w:hyperlink r:id="rId21">
        <w:r>
          <w:rPr>
            <w:rFonts w:ascii="Times New Roman" w:eastAsia="Times New Roman" w:hAnsi="Times New Roman" w:cs="Times New Roman"/>
            <w:sz w:val="16"/>
            <w:szCs w:val="16"/>
          </w:rPr>
          <w:t>http://www.atsdr.cdc.gov/toxprofiles/index.asp.</w:t>
        </w:r>
      </w:hyperlink>
    </w:p>
    <w:p w14:paraId="0000010E" w14:textId="77777777" w:rsidR="00E73A2B" w:rsidRDefault="00E73A2B">
      <w:pPr>
        <w:spacing w:line="379" w:lineRule="auto"/>
        <w:rPr>
          <w:rFonts w:ascii="Arial" w:eastAsia="Arial" w:hAnsi="Arial"/>
          <w:sz w:val="23"/>
          <w:szCs w:val="23"/>
          <w:vertAlign w:val="superscript"/>
        </w:rPr>
      </w:pPr>
    </w:p>
    <w:tbl>
      <w:tblPr>
        <w:tblStyle w:val="af7"/>
        <w:tblW w:w="9360" w:type="dxa"/>
        <w:tblLayout w:type="fixed"/>
        <w:tblLook w:val="0000" w:firstRow="0" w:lastRow="0" w:firstColumn="0" w:lastColumn="0" w:noHBand="0" w:noVBand="0"/>
      </w:tblPr>
      <w:tblGrid>
        <w:gridCol w:w="5460"/>
        <w:gridCol w:w="3900"/>
      </w:tblGrid>
      <w:tr w:rsidR="00E73A2B" w14:paraId="7156DD71" w14:textId="77777777">
        <w:trPr>
          <w:trHeight w:val="184"/>
        </w:trPr>
        <w:tc>
          <w:tcPr>
            <w:tcW w:w="5460" w:type="dxa"/>
            <w:shd w:val="clear" w:color="auto" w:fill="auto"/>
            <w:vAlign w:val="bottom"/>
          </w:tcPr>
          <w:p w14:paraId="0000010F" w14:textId="77777777" w:rsidR="00E73A2B" w:rsidRDefault="00A25CF8">
            <w:pPr>
              <w:rPr>
                <w:rFonts w:ascii="Arial" w:eastAsia="Arial" w:hAnsi="Arial"/>
                <w:sz w:val="16"/>
                <w:szCs w:val="16"/>
              </w:rPr>
            </w:pPr>
            <w:hyperlink w:anchor="bookmark=id.44sinio">
              <w:r>
                <w:rPr>
                  <w:rFonts w:ascii="Arial" w:eastAsia="Arial" w:hAnsi="Arial"/>
                  <w:sz w:val="16"/>
                  <w:szCs w:val="16"/>
                </w:rPr>
                <w:t>Chapter 8. Public Health</w:t>
              </w:r>
            </w:hyperlink>
          </w:p>
        </w:tc>
        <w:tc>
          <w:tcPr>
            <w:tcW w:w="3900" w:type="dxa"/>
            <w:shd w:val="clear" w:color="auto" w:fill="auto"/>
            <w:vAlign w:val="bottom"/>
          </w:tcPr>
          <w:p w14:paraId="00000110" w14:textId="77777777" w:rsidR="00E73A2B" w:rsidRDefault="00A25CF8">
            <w:pPr>
              <w:jc w:val="right"/>
              <w:rPr>
                <w:rFonts w:ascii="Arial" w:eastAsia="Arial" w:hAnsi="Arial"/>
                <w:sz w:val="16"/>
                <w:szCs w:val="16"/>
              </w:rPr>
            </w:pPr>
            <w:r>
              <w:rPr>
                <w:rFonts w:ascii="Arial" w:eastAsia="Arial" w:hAnsi="Arial"/>
                <w:sz w:val="16"/>
                <w:szCs w:val="16"/>
              </w:rPr>
              <w:t>59</w:t>
            </w:r>
          </w:p>
        </w:tc>
      </w:tr>
    </w:tbl>
    <w:p w14:paraId="00000111" w14:textId="77777777" w:rsidR="00E73A2B" w:rsidRDefault="00E73A2B">
      <w:pPr>
        <w:rPr>
          <w:rFonts w:ascii="Arial" w:eastAsia="Arial" w:hAnsi="Arial"/>
          <w:sz w:val="16"/>
          <w:szCs w:val="16"/>
        </w:rPr>
        <w:sectPr w:rsidR="00E73A2B">
          <w:pgSz w:w="12240" w:h="15840"/>
          <w:pgMar w:top="1437" w:right="1440" w:bottom="395" w:left="1440" w:header="0" w:footer="0" w:gutter="0"/>
          <w:cols w:space="720"/>
        </w:sectPr>
      </w:pPr>
    </w:p>
    <w:p w14:paraId="00000112" w14:textId="77777777" w:rsidR="00E73A2B" w:rsidRDefault="00E73A2B">
      <w:pPr>
        <w:spacing w:line="14" w:lineRule="auto"/>
        <w:rPr>
          <w:rFonts w:ascii="Times New Roman" w:eastAsia="Times New Roman" w:hAnsi="Times New Roman" w:cs="Times New Roman"/>
        </w:rPr>
      </w:pPr>
      <w:bookmarkStart w:id="10" w:name="bookmark=id.3dy6vkm" w:colFirst="0" w:colLast="0"/>
      <w:bookmarkEnd w:id="10"/>
    </w:p>
    <w:p w14:paraId="00000113" w14:textId="77777777" w:rsidR="00E73A2B" w:rsidRDefault="00A25CF8">
      <w:pPr>
        <w:spacing w:line="349" w:lineRule="auto"/>
        <w:ind w:right="700"/>
        <w:rPr>
          <w:rFonts w:ascii="Times New Roman" w:eastAsia="Times New Roman" w:hAnsi="Times New Roman" w:cs="Times New Roman"/>
          <w:sz w:val="22"/>
          <w:szCs w:val="22"/>
        </w:rPr>
      </w:pPr>
      <w:r>
        <w:rPr>
          <w:rFonts w:ascii="Times New Roman" w:eastAsia="Times New Roman" w:hAnsi="Times New Roman" w:cs="Times New Roman"/>
          <w:sz w:val="22"/>
          <w:szCs w:val="22"/>
        </w:rPr>
        <w:t>with exposure to air pollutants can be helpful to inform policy, but modeling those for non-criteria pollutants is more challenging and uncertain.</w:t>
      </w:r>
    </w:p>
    <w:p w14:paraId="00000114" w14:textId="77777777" w:rsidR="00E73A2B" w:rsidRDefault="00E73A2B">
      <w:pPr>
        <w:spacing w:line="353" w:lineRule="auto"/>
        <w:rPr>
          <w:rFonts w:ascii="Times New Roman" w:eastAsia="Times New Roman" w:hAnsi="Times New Roman" w:cs="Times New Roman"/>
        </w:rPr>
      </w:pPr>
    </w:p>
    <w:p w14:paraId="00000115" w14:textId="77777777" w:rsidR="00E73A2B" w:rsidRDefault="00A25CF8">
      <w:pPr>
        <w:rPr>
          <w:rFonts w:ascii="Arial" w:eastAsia="Arial" w:hAnsi="Arial"/>
          <w:b/>
          <w:i/>
          <w:sz w:val="24"/>
          <w:szCs w:val="24"/>
        </w:rPr>
      </w:pPr>
      <w:r>
        <w:rPr>
          <w:rFonts w:ascii="Arial" w:eastAsia="Arial" w:hAnsi="Arial"/>
          <w:b/>
          <w:i/>
          <w:sz w:val="24"/>
          <w:szCs w:val="24"/>
        </w:rPr>
        <w:t>Power Generation</w:t>
      </w:r>
    </w:p>
    <w:p w14:paraId="00000116" w14:textId="77777777" w:rsidR="00E73A2B" w:rsidRDefault="00E73A2B">
      <w:pPr>
        <w:spacing w:line="130" w:lineRule="auto"/>
        <w:rPr>
          <w:rFonts w:ascii="Times New Roman" w:eastAsia="Times New Roman" w:hAnsi="Times New Roman" w:cs="Times New Roman"/>
        </w:rPr>
      </w:pPr>
    </w:p>
    <w:p w14:paraId="00000117" w14:textId="77777777" w:rsidR="00E73A2B" w:rsidRDefault="00A25CF8">
      <w:pPr>
        <w:spacing w:line="358" w:lineRule="auto"/>
        <w:ind w:right="40"/>
        <w:rPr>
          <w:rFonts w:ascii="Times New Roman" w:eastAsia="Times New Roman" w:hAnsi="Times New Roman" w:cs="Times New Roman"/>
          <w:sz w:val="22"/>
          <w:szCs w:val="22"/>
        </w:rPr>
      </w:pPr>
      <w:r>
        <w:rPr>
          <w:rFonts w:ascii="Times New Roman" w:eastAsia="Times New Roman" w:hAnsi="Times New Roman" w:cs="Times New Roman"/>
          <w:sz w:val="22"/>
          <w:szCs w:val="22"/>
        </w:rPr>
        <w:t>The transition in the power generation sector away from carbon-based fuel combustion to me</w:t>
      </w:r>
      <w:r>
        <w:rPr>
          <w:rFonts w:ascii="Times New Roman" w:eastAsia="Times New Roman" w:hAnsi="Times New Roman" w:cs="Times New Roman"/>
          <w:sz w:val="22"/>
          <w:szCs w:val="22"/>
        </w:rPr>
        <w:t xml:space="preserve">et the requirements of the Climate Act will result in the same kinds of health co-benefits achieved through this transition across all sectors. However, there are health concerns specific to this sector, and they have been considered in the development of </w:t>
      </w:r>
      <w:r>
        <w:rPr>
          <w:rFonts w:ascii="Times New Roman" w:eastAsia="Times New Roman" w:hAnsi="Times New Roman" w:cs="Times New Roman"/>
          <w:sz w:val="22"/>
          <w:szCs w:val="22"/>
        </w:rPr>
        <w:t>this Plan. The health risks associated with combustion emissions and combustion waste products are not associated with renewable power generation and will substantially decrease with large-scale reduction in combustion for power generation. Coal—a fuel wit</w:t>
      </w:r>
      <w:r>
        <w:rPr>
          <w:rFonts w:ascii="Times New Roman" w:eastAsia="Times New Roman" w:hAnsi="Times New Roman" w:cs="Times New Roman"/>
          <w:sz w:val="22"/>
          <w:szCs w:val="22"/>
        </w:rPr>
        <w:t>h significant emissions and associated health impacts—has already been phased out in New York power generation following DEC’s adoption of CO</w:t>
      </w:r>
      <w:r>
        <w:rPr>
          <w:rFonts w:ascii="Times New Roman" w:eastAsia="Times New Roman" w:hAnsi="Times New Roman" w:cs="Times New Roman"/>
          <w:sz w:val="13"/>
          <w:szCs w:val="13"/>
        </w:rPr>
        <w:t>2</w:t>
      </w:r>
      <w:r>
        <w:rPr>
          <w:rFonts w:ascii="Times New Roman" w:eastAsia="Times New Roman" w:hAnsi="Times New Roman" w:cs="Times New Roman"/>
          <w:sz w:val="22"/>
          <w:szCs w:val="22"/>
        </w:rPr>
        <w:t xml:space="preserve"> emission limits for power plants, as part of 6 NYCRR Part 251. Although emissions from power plant stacks can tra</w:t>
      </w:r>
      <w:r>
        <w:rPr>
          <w:rFonts w:ascii="Times New Roman" w:eastAsia="Times New Roman" w:hAnsi="Times New Roman" w:cs="Times New Roman"/>
          <w:sz w:val="22"/>
          <w:szCs w:val="22"/>
        </w:rPr>
        <w:t>vel great distances, power generation facilities also contribute to air quality impacts in nearby communities, including Disadvantaged Communities.</w:t>
      </w:r>
    </w:p>
    <w:p w14:paraId="00000118" w14:textId="77777777" w:rsidR="00E73A2B" w:rsidRDefault="00E73A2B">
      <w:pPr>
        <w:spacing w:line="362" w:lineRule="auto"/>
        <w:rPr>
          <w:rFonts w:ascii="Times New Roman" w:eastAsia="Times New Roman" w:hAnsi="Times New Roman" w:cs="Times New Roman"/>
        </w:rPr>
      </w:pPr>
    </w:p>
    <w:p w14:paraId="00000119" w14:textId="77777777" w:rsidR="00E73A2B" w:rsidRDefault="00A25CF8">
      <w:pPr>
        <w:spacing w:line="358" w:lineRule="auto"/>
        <w:ind w:right="120"/>
        <w:rPr>
          <w:rFonts w:ascii="Times New Roman" w:eastAsia="Times New Roman" w:hAnsi="Times New Roman" w:cs="Times New Roman"/>
          <w:sz w:val="22"/>
          <w:szCs w:val="22"/>
        </w:rPr>
      </w:pPr>
      <w:r>
        <w:rPr>
          <w:rFonts w:ascii="Times New Roman" w:eastAsia="Times New Roman" w:hAnsi="Times New Roman" w:cs="Times New Roman"/>
          <w:sz w:val="22"/>
          <w:szCs w:val="22"/>
        </w:rPr>
        <w:t>Health concerns associated with onshore generation of wind energy are limited. Physical safety concerns can</w:t>
      </w:r>
      <w:r>
        <w:rPr>
          <w:rFonts w:ascii="Times New Roman" w:eastAsia="Times New Roman" w:hAnsi="Times New Roman" w:cs="Times New Roman"/>
          <w:sz w:val="22"/>
          <w:szCs w:val="22"/>
        </w:rPr>
        <w:t xml:space="preserve"> be mitigated through the choice of appropriate minimum setbacks (the minimum allowable distances between turbines and roads, property lines, or structures). Annoyance,</w:t>
      </w:r>
      <w:r>
        <w:rPr>
          <w:rFonts w:ascii="Arial" w:eastAsia="Arial" w:hAnsi="Arial"/>
          <w:sz w:val="12"/>
          <w:szCs w:val="12"/>
        </w:rPr>
        <w:t>102</w:t>
      </w:r>
      <w:r>
        <w:rPr>
          <w:rFonts w:ascii="Times New Roman" w:eastAsia="Times New Roman" w:hAnsi="Times New Roman" w:cs="Times New Roman"/>
          <w:sz w:val="22"/>
          <w:szCs w:val="22"/>
        </w:rPr>
        <w:t xml:space="preserve"> associated with wind turbines producing characteristic sounds or noise as wind passe</w:t>
      </w:r>
      <w:r>
        <w:rPr>
          <w:rFonts w:ascii="Times New Roman" w:eastAsia="Times New Roman" w:hAnsi="Times New Roman" w:cs="Times New Roman"/>
          <w:sz w:val="22"/>
          <w:szCs w:val="22"/>
        </w:rPr>
        <w:t xml:space="preserve">s over the rotating blades, is a health effect according to the </w:t>
      </w:r>
      <w:r>
        <w:rPr>
          <w:rFonts w:ascii="Times New Roman" w:eastAsia="Times New Roman" w:hAnsi="Times New Roman" w:cs="Times New Roman"/>
          <w:i/>
          <w:sz w:val="22"/>
          <w:szCs w:val="22"/>
        </w:rPr>
        <w:t>Environmental Noise Guidelines for the European Region</w:t>
      </w:r>
      <w:r>
        <w:rPr>
          <w:rFonts w:ascii="Times New Roman" w:eastAsia="Times New Roman" w:hAnsi="Times New Roman" w:cs="Times New Roman"/>
          <w:sz w:val="22"/>
          <w:szCs w:val="22"/>
        </w:rPr>
        <w:t>, published by the World Health Organization in 2018.</w:t>
      </w:r>
      <w:r>
        <w:rPr>
          <w:rFonts w:ascii="Arial" w:eastAsia="Arial" w:hAnsi="Arial"/>
          <w:sz w:val="12"/>
          <w:szCs w:val="12"/>
        </w:rPr>
        <w:t>103</w:t>
      </w:r>
      <w:r>
        <w:rPr>
          <w:rFonts w:ascii="Times New Roman" w:eastAsia="Times New Roman" w:hAnsi="Times New Roman" w:cs="Times New Roman"/>
          <w:sz w:val="22"/>
          <w:szCs w:val="22"/>
        </w:rPr>
        <w:t xml:space="preserve"> Data indicates that noise from wind turbines may be more noticeable, annoying, an</w:t>
      </w:r>
      <w:r>
        <w:rPr>
          <w:rFonts w:ascii="Times New Roman" w:eastAsia="Times New Roman" w:hAnsi="Times New Roman" w:cs="Times New Roman"/>
          <w:sz w:val="22"/>
          <w:szCs w:val="22"/>
        </w:rPr>
        <w:t>d disturbing than other community or industrial sounds of the same level. Reviewing acceptable noise thresholds for wind turbine siting as scientific understanding evolves will be important as onshore wind energy is increasingly adopted.</w:t>
      </w:r>
    </w:p>
    <w:p w14:paraId="0000011A" w14:textId="77777777" w:rsidR="00E73A2B" w:rsidRDefault="00E73A2B">
      <w:pPr>
        <w:spacing w:line="358" w:lineRule="auto"/>
        <w:rPr>
          <w:rFonts w:ascii="Times New Roman" w:eastAsia="Times New Roman" w:hAnsi="Times New Roman" w:cs="Times New Roman"/>
        </w:rPr>
      </w:pPr>
    </w:p>
    <w:p w14:paraId="0000011B" w14:textId="77777777" w:rsidR="00E73A2B" w:rsidRDefault="00A25CF8">
      <w:pPr>
        <w:spacing w:line="358" w:lineRule="auto"/>
        <w:ind w:right="60"/>
        <w:rPr>
          <w:rFonts w:ascii="Times New Roman" w:eastAsia="Times New Roman" w:hAnsi="Times New Roman" w:cs="Times New Roman"/>
          <w:sz w:val="13"/>
          <w:szCs w:val="13"/>
        </w:rPr>
      </w:pPr>
      <w:r>
        <w:rPr>
          <w:rFonts w:ascii="Times New Roman" w:eastAsia="Times New Roman" w:hAnsi="Times New Roman" w:cs="Times New Roman"/>
          <w:sz w:val="22"/>
          <w:szCs w:val="22"/>
        </w:rPr>
        <w:t>Finally, there ar</w:t>
      </w:r>
      <w:r>
        <w:rPr>
          <w:rFonts w:ascii="Times New Roman" w:eastAsia="Times New Roman" w:hAnsi="Times New Roman" w:cs="Times New Roman"/>
          <w:sz w:val="22"/>
          <w:szCs w:val="22"/>
        </w:rPr>
        <w:t>e emerging energy technologies that may pose new opportunities as well as new risks that have yet to be fully understood. Hydrogen combustion does not directly generate most combustion byproducts such as PM, thus conveying a potentially large health benefi</w:t>
      </w:r>
      <w:r>
        <w:rPr>
          <w:rFonts w:ascii="Times New Roman" w:eastAsia="Times New Roman" w:hAnsi="Times New Roman" w:cs="Times New Roman"/>
          <w:sz w:val="22"/>
          <w:szCs w:val="22"/>
        </w:rPr>
        <w:t>t, but does emit NO</w:t>
      </w:r>
      <w:r>
        <w:rPr>
          <w:rFonts w:ascii="Times New Roman" w:eastAsia="Times New Roman" w:hAnsi="Times New Roman" w:cs="Times New Roman"/>
          <w:sz w:val="13"/>
          <w:szCs w:val="13"/>
        </w:rPr>
        <w:t>x</w:t>
      </w:r>
      <w:r>
        <w:rPr>
          <w:rFonts w:ascii="Times New Roman" w:eastAsia="Times New Roman" w:hAnsi="Times New Roman" w:cs="Times New Roman"/>
          <w:sz w:val="22"/>
          <w:szCs w:val="22"/>
        </w:rPr>
        <w:t xml:space="preserve"> (which are precursors to ozone, PM, and NO</w:t>
      </w:r>
      <w:r>
        <w:rPr>
          <w:rFonts w:ascii="Times New Roman" w:eastAsia="Times New Roman" w:hAnsi="Times New Roman" w:cs="Times New Roman"/>
          <w:sz w:val="13"/>
          <w:szCs w:val="13"/>
        </w:rPr>
        <w:t>2</w:t>
      </w:r>
      <w:r>
        <w:rPr>
          <w:rFonts w:ascii="Times New Roman" w:eastAsia="Times New Roman" w:hAnsi="Times New Roman" w:cs="Times New Roman"/>
          <w:sz w:val="22"/>
          <w:szCs w:val="22"/>
        </w:rPr>
        <w:t xml:space="preserve"> formation) at levels that may be higher than those from natural gas combustion because of hydrogen’s high combustion temperature. Opportunities to further reduce NO</w:t>
      </w:r>
      <w:r>
        <w:rPr>
          <w:rFonts w:ascii="Times New Roman" w:eastAsia="Times New Roman" w:hAnsi="Times New Roman" w:cs="Times New Roman"/>
          <w:sz w:val="13"/>
          <w:szCs w:val="13"/>
        </w:rPr>
        <w:t>x</w:t>
      </w:r>
    </w:p>
    <w:p w14:paraId="0000011C" w14:textId="77777777" w:rsidR="00E73A2B" w:rsidRDefault="00A25CF8">
      <w:pPr>
        <w:spacing w:line="20" w:lineRule="auto"/>
        <w:rPr>
          <w:rFonts w:ascii="Times New Roman" w:eastAsia="Times New Roman" w:hAnsi="Times New Roman" w:cs="Times New Roman"/>
        </w:rPr>
      </w:pPr>
      <w:r>
        <w:rPr>
          <w:noProof/>
        </w:rPr>
        <mc:AlternateContent>
          <mc:Choice Requires="wpg">
            <w:drawing>
              <wp:anchor distT="0" distB="0" distL="0" distR="0" simplePos="0" relativeHeight="251665408" behindDoc="1" locked="0" layoutInCell="1" hidden="0" allowOverlap="1">
                <wp:simplePos x="0" y="0"/>
                <wp:positionH relativeFrom="column">
                  <wp:posOffset>0</wp:posOffset>
                </wp:positionH>
                <wp:positionV relativeFrom="paragraph">
                  <wp:posOffset>215900</wp:posOffset>
                </wp:positionV>
                <wp:extent cx="1838325" cy="22225"/>
                <wp:effectExtent l="0" t="0" r="0" b="0"/>
                <wp:wrapNone/>
                <wp:docPr id="41" name=""/>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215900</wp:posOffset>
                </wp:positionV>
                <wp:extent cx="1838325" cy="22225"/>
                <wp:effectExtent b="0" l="0" r="0" t="0"/>
                <wp:wrapNone/>
                <wp:docPr id="41" name="image9.png"/>
                <a:graphic>
                  <a:graphicData uri="http://schemas.openxmlformats.org/drawingml/2006/picture">
                    <pic:pic>
                      <pic:nvPicPr>
                        <pic:cNvPr id="0" name="image9.png"/>
                        <pic:cNvPicPr preferRelativeResize="0"/>
                      </pic:nvPicPr>
                      <pic:blipFill>
                        <a:blip r:embed="rId22"/>
                        <a:srcRect/>
                        <a:stretch>
                          <a:fillRect/>
                        </a:stretch>
                      </pic:blipFill>
                      <pic:spPr>
                        <a:xfrm>
                          <a:off x="0" y="0"/>
                          <a:ext cx="1838325" cy="22225"/>
                        </a:xfrm>
                        <a:prstGeom prst="rect"/>
                        <a:ln/>
                      </pic:spPr>
                    </pic:pic>
                  </a:graphicData>
                </a:graphic>
              </wp:anchor>
            </w:drawing>
          </mc:Fallback>
        </mc:AlternateContent>
      </w:r>
    </w:p>
    <w:p w14:paraId="0000011D" w14:textId="77777777" w:rsidR="00E73A2B" w:rsidRDefault="00E73A2B">
      <w:pPr>
        <w:spacing w:line="200" w:lineRule="auto"/>
        <w:rPr>
          <w:rFonts w:ascii="Times New Roman" w:eastAsia="Times New Roman" w:hAnsi="Times New Roman" w:cs="Times New Roman"/>
        </w:rPr>
      </w:pPr>
    </w:p>
    <w:p w14:paraId="0000011E" w14:textId="77777777" w:rsidR="00E73A2B" w:rsidRDefault="00E73A2B">
      <w:pPr>
        <w:spacing w:line="200" w:lineRule="auto"/>
        <w:rPr>
          <w:rFonts w:ascii="Times New Roman" w:eastAsia="Times New Roman" w:hAnsi="Times New Roman" w:cs="Times New Roman"/>
        </w:rPr>
      </w:pPr>
    </w:p>
    <w:p w14:paraId="0000011F" w14:textId="77777777" w:rsidR="00E73A2B" w:rsidRDefault="00E73A2B">
      <w:pPr>
        <w:spacing w:line="253" w:lineRule="auto"/>
        <w:rPr>
          <w:rFonts w:ascii="Times New Roman" w:eastAsia="Times New Roman" w:hAnsi="Times New Roman" w:cs="Times New Roman"/>
        </w:rPr>
      </w:pPr>
    </w:p>
    <w:p w14:paraId="00000120" w14:textId="77777777" w:rsidR="00E73A2B" w:rsidRDefault="00A25CF8">
      <w:pPr>
        <w:numPr>
          <w:ilvl w:val="0"/>
          <w:numId w:val="4"/>
        </w:numPr>
        <w:tabs>
          <w:tab w:val="left" w:pos="270"/>
        </w:tabs>
        <w:spacing w:line="208" w:lineRule="auto"/>
        <w:ind w:left="280" w:right="140" w:hanging="280"/>
        <w:rPr>
          <w:rFonts w:ascii="Arial" w:eastAsia="Arial" w:hAnsi="Arial"/>
          <w:sz w:val="24"/>
          <w:szCs w:val="24"/>
          <w:vertAlign w:val="superscript"/>
        </w:rPr>
      </w:pPr>
      <w:r>
        <w:rPr>
          <w:rFonts w:ascii="Times New Roman" w:eastAsia="Times New Roman" w:hAnsi="Times New Roman" w:cs="Times New Roman"/>
          <w:sz w:val="17"/>
          <w:szCs w:val="17"/>
        </w:rPr>
        <w:t>Noise annoyance is defined by the World Health Organization as a (long term) feeling of displeasure, nuisance, disturbance, or irritation caused by a specific sound.</w:t>
      </w:r>
    </w:p>
    <w:p w14:paraId="00000121" w14:textId="77777777" w:rsidR="00E73A2B" w:rsidRDefault="00E73A2B">
      <w:pPr>
        <w:spacing w:line="107" w:lineRule="auto"/>
        <w:rPr>
          <w:rFonts w:ascii="Arial" w:eastAsia="Arial" w:hAnsi="Arial"/>
          <w:sz w:val="24"/>
          <w:szCs w:val="24"/>
          <w:vertAlign w:val="superscript"/>
        </w:rPr>
      </w:pPr>
    </w:p>
    <w:p w14:paraId="00000122" w14:textId="77777777" w:rsidR="00E73A2B" w:rsidRDefault="00A25CF8">
      <w:pPr>
        <w:numPr>
          <w:ilvl w:val="0"/>
          <w:numId w:val="4"/>
        </w:numPr>
        <w:tabs>
          <w:tab w:val="left" w:pos="270"/>
        </w:tabs>
        <w:spacing w:line="208" w:lineRule="auto"/>
        <w:ind w:left="280" w:right="340" w:hanging="280"/>
        <w:rPr>
          <w:rFonts w:ascii="Arial" w:eastAsia="Arial" w:hAnsi="Arial"/>
          <w:sz w:val="24"/>
          <w:szCs w:val="24"/>
          <w:vertAlign w:val="superscript"/>
        </w:rPr>
      </w:pPr>
      <w:r>
        <w:rPr>
          <w:rFonts w:ascii="Times New Roman" w:eastAsia="Times New Roman" w:hAnsi="Times New Roman" w:cs="Times New Roman"/>
          <w:sz w:val="17"/>
          <w:szCs w:val="17"/>
        </w:rPr>
        <w:t>World Health Organization Regional Office for Europe. 2018. Environmental Noise Guidelines for the European Region. Copenhagen. Accessed at https://www.euro.who.int/__data/assets/pdf_file/0008/383921/noise-guidelines-eng.pdf.</w:t>
      </w:r>
    </w:p>
    <w:p w14:paraId="00000123" w14:textId="77777777" w:rsidR="00E73A2B" w:rsidRDefault="00E73A2B">
      <w:pPr>
        <w:spacing w:line="376" w:lineRule="auto"/>
        <w:rPr>
          <w:rFonts w:ascii="Times New Roman" w:eastAsia="Times New Roman" w:hAnsi="Times New Roman" w:cs="Times New Roman"/>
        </w:rPr>
      </w:pPr>
    </w:p>
    <w:tbl>
      <w:tblPr>
        <w:tblStyle w:val="af8"/>
        <w:tblW w:w="9360" w:type="dxa"/>
        <w:tblLayout w:type="fixed"/>
        <w:tblLook w:val="0000" w:firstRow="0" w:lastRow="0" w:firstColumn="0" w:lastColumn="0" w:noHBand="0" w:noVBand="0"/>
      </w:tblPr>
      <w:tblGrid>
        <w:gridCol w:w="5460"/>
        <w:gridCol w:w="3900"/>
      </w:tblGrid>
      <w:tr w:rsidR="00E73A2B" w14:paraId="2C7A3CC0" w14:textId="77777777">
        <w:trPr>
          <w:trHeight w:val="184"/>
        </w:trPr>
        <w:tc>
          <w:tcPr>
            <w:tcW w:w="5460" w:type="dxa"/>
            <w:shd w:val="clear" w:color="auto" w:fill="auto"/>
            <w:vAlign w:val="bottom"/>
          </w:tcPr>
          <w:p w14:paraId="00000124" w14:textId="77777777" w:rsidR="00E73A2B" w:rsidRDefault="00A25CF8">
            <w:pPr>
              <w:rPr>
                <w:rFonts w:ascii="Arial" w:eastAsia="Arial" w:hAnsi="Arial"/>
                <w:sz w:val="16"/>
                <w:szCs w:val="16"/>
              </w:rPr>
            </w:pPr>
            <w:hyperlink w:anchor="bookmark=id.44sinio">
              <w:r>
                <w:rPr>
                  <w:rFonts w:ascii="Arial" w:eastAsia="Arial" w:hAnsi="Arial"/>
                  <w:sz w:val="16"/>
                  <w:szCs w:val="16"/>
                </w:rPr>
                <w:t>Chapter 8. Public Health</w:t>
              </w:r>
            </w:hyperlink>
          </w:p>
        </w:tc>
        <w:tc>
          <w:tcPr>
            <w:tcW w:w="3900" w:type="dxa"/>
            <w:shd w:val="clear" w:color="auto" w:fill="auto"/>
            <w:vAlign w:val="bottom"/>
          </w:tcPr>
          <w:p w14:paraId="00000125" w14:textId="77777777" w:rsidR="00E73A2B" w:rsidRDefault="00A25CF8">
            <w:pPr>
              <w:jc w:val="right"/>
              <w:rPr>
                <w:rFonts w:ascii="Arial" w:eastAsia="Arial" w:hAnsi="Arial"/>
                <w:sz w:val="16"/>
                <w:szCs w:val="16"/>
              </w:rPr>
            </w:pPr>
            <w:r>
              <w:rPr>
                <w:rFonts w:ascii="Arial" w:eastAsia="Arial" w:hAnsi="Arial"/>
                <w:sz w:val="16"/>
                <w:szCs w:val="16"/>
              </w:rPr>
              <w:t>60</w:t>
            </w:r>
          </w:p>
        </w:tc>
      </w:tr>
    </w:tbl>
    <w:p w14:paraId="00000126" w14:textId="77777777" w:rsidR="00E73A2B" w:rsidRDefault="00E73A2B">
      <w:pPr>
        <w:rPr>
          <w:rFonts w:ascii="Arial" w:eastAsia="Arial" w:hAnsi="Arial"/>
          <w:sz w:val="16"/>
          <w:szCs w:val="16"/>
        </w:rPr>
        <w:sectPr w:rsidR="00E73A2B">
          <w:pgSz w:w="12240" w:h="15840"/>
          <w:pgMar w:top="1440" w:right="1440" w:bottom="395" w:left="1440" w:header="0" w:footer="0" w:gutter="0"/>
          <w:cols w:space="720"/>
        </w:sectPr>
      </w:pPr>
    </w:p>
    <w:p w14:paraId="00000127" w14:textId="77777777" w:rsidR="00E73A2B" w:rsidRDefault="00E73A2B">
      <w:pPr>
        <w:spacing w:line="14" w:lineRule="auto"/>
        <w:rPr>
          <w:rFonts w:ascii="Times New Roman" w:eastAsia="Times New Roman" w:hAnsi="Times New Roman" w:cs="Times New Roman"/>
        </w:rPr>
      </w:pPr>
      <w:bookmarkStart w:id="11" w:name="bookmark=id.1t3h5sf" w:colFirst="0" w:colLast="0"/>
      <w:bookmarkEnd w:id="11"/>
    </w:p>
    <w:p w14:paraId="00000128" w14:textId="77777777" w:rsidR="00E73A2B" w:rsidRDefault="00A25CF8">
      <w:pPr>
        <w:spacing w:line="349" w:lineRule="auto"/>
        <w:ind w:right="160"/>
        <w:rPr>
          <w:rFonts w:ascii="Times New Roman" w:eastAsia="Times New Roman" w:hAnsi="Times New Roman" w:cs="Times New Roman"/>
          <w:sz w:val="22"/>
          <w:szCs w:val="22"/>
        </w:rPr>
      </w:pPr>
      <w:r>
        <w:rPr>
          <w:rFonts w:ascii="Times New Roman" w:eastAsia="Times New Roman" w:hAnsi="Times New Roman" w:cs="Times New Roman"/>
          <w:sz w:val="22"/>
          <w:szCs w:val="22"/>
        </w:rPr>
        <w:t>emissions from hydrogen combustion exist and need to be further studied. The combustion of renewable natural gas (RNG) is likely to result in pollutant emissions similar to fossil gas combustion.</w:t>
      </w:r>
    </w:p>
    <w:p w14:paraId="00000129" w14:textId="77777777" w:rsidR="00E73A2B" w:rsidRDefault="00E73A2B">
      <w:pPr>
        <w:spacing w:line="364" w:lineRule="auto"/>
        <w:rPr>
          <w:rFonts w:ascii="Times New Roman" w:eastAsia="Times New Roman" w:hAnsi="Times New Roman" w:cs="Times New Roman"/>
        </w:rPr>
      </w:pPr>
    </w:p>
    <w:p w14:paraId="0000012A" w14:textId="77777777" w:rsidR="00E73A2B" w:rsidRDefault="00A25CF8">
      <w:pPr>
        <w:spacing w:line="338" w:lineRule="auto"/>
        <w:ind w:right="40"/>
        <w:rPr>
          <w:rFonts w:ascii="Times New Roman" w:eastAsia="Times New Roman" w:hAnsi="Times New Roman" w:cs="Times New Roman"/>
          <w:sz w:val="22"/>
          <w:szCs w:val="22"/>
        </w:rPr>
      </w:pPr>
      <w:r>
        <w:rPr>
          <w:rFonts w:ascii="Times New Roman" w:eastAsia="Times New Roman" w:hAnsi="Times New Roman" w:cs="Times New Roman"/>
          <w:sz w:val="22"/>
          <w:szCs w:val="22"/>
        </w:rPr>
        <w:t>While tr</w:t>
      </w:r>
      <w:r>
        <w:rPr>
          <w:rFonts w:ascii="Times New Roman" w:eastAsia="Times New Roman" w:hAnsi="Times New Roman" w:cs="Times New Roman"/>
          <w:sz w:val="22"/>
          <w:szCs w:val="22"/>
        </w:rPr>
        <w:t>ansitioning away from carbon-based energy sources, maintaining reliability of the energy system is crucial. Reliable electricity production is critical to maintain good public health in our energy-dependent society. Increasing the reliability of the electr</w:t>
      </w:r>
      <w:r>
        <w:rPr>
          <w:rFonts w:ascii="Times New Roman" w:eastAsia="Times New Roman" w:hAnsi="Times New Roman" w:cs="Times New Roman"/>
          <w:sz w:val="22"/>
          <w:szCs w:val="22"/>
        </w:rPr>
        <w:t>ic grid can reduce health effects during high temperatures, when air conditioning is the principal means to prevent heat-related morbidity and mortality. During summer, power outages pose specific health-related impacts such as: (1) spoiled food and digest</w:t>
      </w:r>
      <w:r>
        <w:rPr>
          <w:rFonts w:ascii="Times New Roman" w:eastAsia="Times New Roman" w:hAnsi="Times New Roman" w:cs="Times New Roman"/>
          <w:sz w:val="22"/>
          <w:szCs w:val="22"/>
        </w:rPr>
        <w:t>ive tract illness; (2) spoiled vaccines; and (3) increased rodent populations as a result of discarded perishables.</w:t>
      </w:r>
      <w:r>
        <w:rPr>
          <w:rFonts w:ascii="Arial" w:eastAsia="Arial" w:hAnsi="Arial"/>
          <w:sz w:val="12"/>
          <w:szCs w:val="12"/>
        </w:rPr>
        <w:t>104</w:t>
      </w:r>
      <w:r>
        <w:rPr>
          <w:rFonts w:ascii="Times New Roman" w:eastAsia="Times New Roman" w:hAnsi="Times New Roman" w:cs="Times New Roman"/>
          <w:sz w:val="27"/>
          <w:szCs w:val="27"/>
          <w:vertAlign w:val="superscript"/>
        </w:rPr>
        <w:t>,</w:t>
      </w:r>
      <w:r>
        <w:rPr>
          <w:rFonts w:ascii="Arial" w:eastAsia="Arial" w:hAnsi="Arial"/>
          <w:sz w:val="12"/>
          <w:szCs w:val="12"/>
        </w:rPr>
        <w:t>105</w:t>
      </w:r>
      <w:r>
        <w:rPr>
          <w:rFonts w:ascii="Times New Roman" w:eastAsia="Times New Roman" w:hAnsi="Times New Roman" w:cs="Times New Roman"/>
          <w:sz w:val="27"/>
          <w:szCs w:val="27"/>
          <w:vertAlign w:val="superscript"/>
        </w:rPr>
        <w:t>,</w:t>
      </w:r>
      <w:r>
        <w:rPr>
          <w:rFonts w:ascii="Arial" w:eastAsia="Arial" w:hAnsi="Arial"/>
          <w:sz w:val="12"/>
          <w:szCs w:val="12"/>
        </w:rPr>
        <w:t>106</w:t>
      </w:r>
      <w:r>
        <w:rPr>
          <w:rFonts w:ascii="Times New Roman" w:eastAsia="Times New Roman" w:hAnsi="Times New Roman" w:cs="Times New Roman"/>
          <w:sz w:val="22"/>
          <w:szCs w:val="22"/>
        </w:rPr>
        <w:t xml:space="preserve"> Winter outages also pose specific risks to public health such as carbon monoxide.</w:t>
      </w:r>
      <w:r>
        <w:rPr>
          <w:rFonts w:ascii="Arial" w:eastAsia="Arial" w:hAnsi="Arial"/>
          <w:sz w:val="12"/>
          <w:szCs w:val="12"/>
        </w:rPr>
        <w:t>107</w:t>
      </w:r>
      <w:r>
        <w:rPr>
          <w:rFonts w:ascii="Times New Roman" w:eastAsia="Times New Roman" w:hAnsi="Times New Roman" w:cs="Times New Roman"/>
          <w:sz w:val="27"/>
          <w:szCs w:val="27"/>
          <w:vertAlign w:val="superscript"/>
        </w:rPr>
        <w:t>,</w:t>
      </w:r>
      <w:r>
        <w:rPr>
          <w:rFonts w:ascii="Arial" w:eastAsia="Arial" w:hAnsi="Arial"/>
          <w:sz w:val="12"/>
          <w:szCs w:val="12"/>
        </w:rPr>
        <w:t>108</w:t>
      </w:r>
      <w:r>
        <w:rPr>
          <w:rFonts w:ascii="Times New Roman" w:eastAsia="Times New Roman" w:hAnsi="Times New Roman" w:cs="Times New Roman"/>
          <w:sz w:val="22"/>
          <w:szCs w:val="22"/>
        </w:rPr>
        <w:t xml:space="preserve"> Following a 2006 winter storm in Western</w:t>
      </w:r>
      <w:r>
        <w:rPr>
          <w:rFonts w:ascii="Times New Roman" w:eastAsia="Times New Roman" w:hAnsi="Times New Roman" w:cs="Times New Roman"/>
          <w:sz w:val="22"/>
          <w:szCs w:val="22"/>
        </w:rPr>
        <w:t xml:space="preserve"> New York, 264 people were diagnosed with carbon monoxide poisoning.</w:t>
      </w:r>
      <w:r>
        <w:rPr>
          <w:rFonts w:ascii="Arial" w:eastAsia="Arial" w:hAnsi="Arial"/>
          <w:sz w:val="12"/>
          <w:szCs w:val="12"/>
        </w:rPr>
        <w:t>109</w:t>
      </w:r>
      <w:r>
        <w:rPr>
          <w:rFonts w:ascii="Times New Roman" w:eastAsia="Times New Roman" w:hAnsi="Times New Roman" w:cs="Times New Roman"/>
          <w:sz w:val="22"/>
          <w:szCs w:val="22"/>
        </w:rPr>
        <w:t xml:space="preserve"> After Hurricane Sandy, 80 carbon monoxide poisoning cases were reported.</w:t>
      </w:r>
      <w:r>
        <w:rPr>
          <w:rFonts w:ascii="Arial" w:eastAsia="Arial" w:hAnsi="Arial"/>
          <w:sz w:val="12"/>
          <w:szCs w:val="12"/>
        </w:rPr>
        <w:t>110</w:t>
      </w:r>
      <w:r>
        <w:rPr>
          <w:rFonts w:ascii="Times New Roman" w:eastAsia="Times New Roman" w:hAnsi="Times New Roman" w:cs="Times New Roman"/>
          <w:sz w:val="27"/>
          <w:szCs w:val="27"/>
          <w:vertAlign w:val="superscript"/>
        </w:rPr>
        <w:t>,</w:t>
      </w:r>
      <w:r>
        <w:rPr>
          <w:rFonts w:ascii="Arial" w:eastAsia="Arial" w:hAnsi="Arial"/>
          <w:sz w:val="12"/>
          <w:szCs w:val="12"/>
        </w:rPr>
        <w:t>111</w:t>
      </w:r>
      <w:r>
        <w:rPr>
          <w:rFonts w:ascii="Times New Roman" w:eastAsia="Times New Roman" w:hAnsi="Times New Roman" w:cs="Times New Roman"/>
          <w:sz w:val="22"/>
          <w:szCs w:val="22"/>
        </w:rPr>
        <w:t xml:space="preserve"> At least 57 deaths were attributed to this weather event, and there was over $195 million in property da</w:t>
      </w:r>
      <w:r>
        <w:rPr>
          <w:rFonts w:ascii="Times New Roman" w:eastAsia="Times New Roman" w:hAnsi="Times New Roman" w:cs="Times New Roman"/>
          <w:sz w:val="22"/>
          <w:szCs w:val="22"/>
        </w:rPr>
        <w:t>mage. By improving the reliability of the grid, the State can prevent millions of dollars in damages and prevent premature mortality.</w:t>
      </w:r>
    </w:p>
    <w:p w14:paraId="0000012B" w14:textId="77777777" w:rsidR="00E73A2B" w:rsidRDefault="00E73A2B">
      <w:pPr>
        <w:spacing w:line="365" w:lineRule="auto"/>
        <w:rPr>
          <w:rFonts w:ascii="Times New Roman" w:eastAsia="Times New Roman" w:hAnsi="Times New Roman" w:cs="Times New Roman"/>
        </w:rPr>
      </w:pPr>
    </w:p>
    <w:p w14:paraId="0000012C" w14:textId="77777777" w:rsidR="00E73A2B" w:rsidRDefault="00A25CF8">
      <w:pPr>
        <w:rPr>
          <w:rFonts w:ascii="Arial" w:eastAsia="Arial" w:hAnsi="Arial"/>
          <w:b/>
          <w:i/>
          <w:sz w:val="24"/>
          <w:szCs w:val="24"/>
        </w:rPr>
      </w:pPr>
      <w:r>
        <w:rPr>
          <w:rFonts w:ascii="Arial" w:eastAsia="Arial" w:hAnsi="Arial"/>
          <w:b/>
          <w:i/>
          <w:sz w:val="24"/>
          <w:szCs w:val="24"/>
        </w:rPr>
        <w:t>Transportation</w:t>
      </w:r>
    </w:p>
    <w:p w14:paraId="0000012D" w14:textId="77777777" w:rsidR="00E73A2B" w:rsidRDefault="00E73A2B">
      <w:pPr>
        <w:spacing w:line="130" w:lineRule="auto"/>
        <w:rPr>
          <w:rFonts w:ascii="Times New Roman" w:eastAsia="Times New Roman" w:hAnsi="Times New Roman" w:cs="Times New Roman"/>
        </w:rPr>
      </w:pPr>
    </w:p>
    <w:p w14:paraId="0000012E" w14:textId="77777777" w:rsidR="00E73A2B" w:rsidRDefault="00A25CF8">
      <w:pPr>
        <w:spacing w:line="376" w:lineRule="auto"/>
        <w:ind w:right="20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Opportunities for health co-benefits associated with transportation sector climate policies include reductions in traffic noise and accidents and reductions in morbidity and mortality associated with improved air quality and increased availability and use </w:t>
      </w:r>
      <w:r>
        <w:rPr>
          <w:rFonts w:ascii="Times New Roman" w:eastAsia="Times New Roman" w:hAnsi="Times New Roman" w:cs="Times New Roman"/>
          <w:sz w:val="21"/>
          <w:szCs w:val="21"/>
        </w:rPr>
        <w:t>of active transportation options. Transportation sector emissions are usually concentrated at the ground level, often in densely populated areas, resulting in a tendency toward higher levels of exposure for more people than emissions associated with other</w:t>
      </w:r>
    </w:p>
    <w:p w14:paraId="0000012F" w14:textId="77777777" w:rsidR="00E73A2B" w:rsidRDefault="00A25CF8">
      <w:pPr>
        <w:spacing w:line="20" w:lineRule="auto"/>
        <w:rPr>
          <w:rFonts w:ascii="Times New Roman" w:eastAsia="Times New Roman" w:hAnsi="Times New Roman" w:cs="Times New Roman"/>
        </w:rPr>
      </w:pPr>
      <w:r>
        <w:rPr>
          <w:noProof/>
        </w:rPr>
        <mc:AlternateContent>
          <mc:Choice Requires="wpg">
            <w:drawing>
              <wp:anchor distT="0" distB="0" distL="0" distR="0" simplePos="0" relativeHeight="251666432" behindDoc="1" locked="0" layoutInCell="1" hidden="0" allowOverlap="1">
                <wp:simplePos x="0" y="0"/>
                <wp:positionH relativeFrom="column">
                  <wp:posOffset>0</wp:posOffset>
                </wp:positionH>
                <wp:positionV relativeFrom="paragraph">
                  <wp:posOffset>152400</wp:posOffset>
                </wp:positionV>
                <wp:extent cx="1838325" cy="22225"/>
                <wp:effectExtent l="0" t="0" r="0" b="0"/>
                <wp:wrapNone/>
                <wp:docPr id="42" name=""/>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152400</wp:posOffset>
                </wp:positionV>
                <wp:extent cx="1838325" cy="22225"/>
                <wp:effectExtent b="0" l="0" r="0" t="0"/>
                <wp:wrapNone/>
                <wp:docPr id="42" name="image10.png"/>
                <a:graphic>
                  <a:graphicData uri="http://schemas.openxmlformats.org/drawingml/2006/picture">
                    <pic:pic>
                      <pic:nvPicPr>
                        <pic:cNvPr id="0" name="image10.png"/>
                        <pic:cNvPicPr preferRelativeResize="0"/>
                      </pic:nvPicPr>
                      <pic:blipFill>
                        <a:blip r:embed="rId23"/>
                        <a:srcRect/>
                        <a:stretch>
                          <a:fillRect/>
                        </a:stretch>
                      </pic:blipFill>
                      <pic:spPr>
                        <a:xfrm>
                          <a:off x="0" y="0"/>
                          <a:ext cx="1838325" cy="22225"/>
                        </a:xfrm>
                        <a:prstGeom prst="rect"/>
                        <a:ln/>
                      </pic:spPr>
                    </pic:pic>
                  </a:graphicData>
                </a:graphic>
              </wp:anchor>
            </w:drawing>
          </mc:Fallback>
        </mc:AlternateContent>
      </w:r>
    </w:p>
    <w:p w14:paraId="00000130" w14:textId="77777777" w:rsidR="00E73A2B" w:rsidRDefault="00E73A2B">
      <w:pPr>
        <w:spacing w:line="200" w:lineRule="auto"/>
        <w:rPr>
          <w:rFonts w:ascii="Times New Roman" w:eastAsia="Times New Roman" w:hAnsi="Times New Roman" w:cs="Times New Roman"/>
        </w:rPr>
      </w:pPr>
    </w:p>
    <w:p w14:paraId="00000131" w14:textId="77777777" w:rsidR="00E73A2B" w:rsidRDefault="00E73A2B">
      <w:pPr>
        <w:spacing w:line="342" w:lineRule="auto"/>
        <w:rPr>
          <w:rFonts w:ascii="Times New Roman" w:eastAsia="Times New Roman" w:hAnsi="Times New Roman" w:cs="Times New Roman"/>
        </w:rPr>
      </w:pPr>
    </w:p>
    <w:p w14:paraId="00000132" w14:textId="77777777" w:rsidR="00E73A2B" w:rsidRDefault="00A25CF8">
      <w:pPr>
        <w:numPr>
          <w:ilvl w:val="0"/>
          <w:numId w:val="9"/>
        </w:numPr>
        <w:tabs>
          <w:tab w:val="left" w:pos="270"/>
        </w:tabs>
        <w:ind w:left="280" w:right="40" w:hanging="280"/>
        <w:rPr>
          <w:rFonts w:ascii="Arial" w:eastAsia="Arial" w:hAnsi="Arial"/>
          <w:sz w:val="24"/>
          <w:szCs w:val="24"/>
          <w:vertAlign w:val="superscript"/>
        </w:rPr>
      </w:pPr>
      <w:r>
        <w:rPr>
          <w:rFonts w:ascii="Times New Roman" w:eastAsia="Times New Roman" w:hAnsi="Times New Roman" w:cs="Times New Roman"/>
          <w:sz w:val="17"/>
          <w:szCs w:val="17"/>
        </w:rPr>
        <w:t>Bell, K.N. Risk Factors for Improper Vaccine Storage and Handling in Private Provider Offices. Pediatrics. 2001. 107(6): art-e100.</w:t>
      </w:r>
    </w:p>
    <w:p w14:paraId="00000133" w14:textId="77777777" w:rsidR="00E73A2B" w:rsidRDefault="00E73A2B">
      <w:pPr>
        <w:rPr>
          <w:rFonts w:ascii="Arial" w:eastAsia="Arial" w:hAnsi="Arial"/>
          <w:sz w:val="24"/>
          <w:szCs w:val="24"/>
          <w:vertAlign w:val="superscript"/>
        </w:rPr>
      </w:pPr>
    </w:p>
    <w:p w14:paraId="00000134" w14:textId="77777777" w:rsidR="00E73A2B" w:rsidRDefault="00A25CF8">
      <w:pPr>
        <w:numPr>
          <w:ilvl w:val="0"/>
          <w:numId w:val="9"/>
        </w:numPr>
        <w:tabs>
          <w:tab w:val="left" w:pos="270"/>
        </w:tabs>
        <w:spacing w:line="208" w:lineRule="auto"/>
        <w:ind w:left="280" w:right="360" w:hanging="280"/>
        <w:rPr>
          <w:rFonts w:ascii="Arial" w:eastAsia="Arial" w:hAnsi="Arial"/>
          <w:sz w:val="24"/>
          <w:szCs w:val="24"/>
          <w:vertAlign w:val="superscript"/>
        </w:rPr>
      </w:pPr>
      <w:r>
        <w:rPr>
          <w:rFonts w:ascii="Times New Roman" w:eastAsia="Times New Roman" w:hAnsi="Times New Roman" w:cs="Times New Roman"/>
          <w:sz w:val="17"/>
          <w:szCs w:val="17"/>
        </w:rPr>
        <w:t>Marx, A. Melissa. Diarrheal Illness Detected Through Syndromic Surveillance after a Massive Power Outage: New York City,</w:t>
      </w:r>
      <w:r>
        <w:rPr>
          <w:rFonts w:ascii="Times New Roman" w:eastAsia="Times New Roman" w:hAnsi="Times New Roman" w:cs="Times New Roman"/>
          <w:sz w:val="17"/>
          <w:szCs w:val="17"/>
        </w:rPr>
        <w:t xml:space="preserve"> August 2003. American Journal of Public Health. 2006. 96:547-553.</w:t>
      </w:r>
    </w:p>
    <w:p w14:paraId="00000135" w14:textId="77777777" w:rsidR="00E73A2B" w:rsidRDefault="00E73A2B">
      <w:pPr>
        <w:spacing w:line="42" w:lineRule="auto"/>
        <w:rPr>
          <w:rFonts w:ascii="Arial" w:eastAsia="Arial" w:hAnsi="Arial"/>
          <w:sz w:val="24"/>
          <w:szCs w:val="24"/>
          <w:vertAlign w:val="superscript"/>
        </w:rPr>
      </w:pPr>
    </w:p>
    <w:p w14:paraId="00000136" w14:textId="77777777" w:rsidR="00E73A2B" w:rsidRDefault="00A25CF8">
      <w:pPr>
        <w:numPr>
          <w:ilvl w:val="0"/>
          <w:numId w:val="9"/>
        </w:numPr>
        <w:tabs>
          <w:tab w:val="left" w:pos="260"/>
        </w:tabs>
        <w:ind w:left="260" w:hanging="260"/>
        <w:rPr>
          <w:rFonts w:ascii="Arial" w:eastAsia="Arial" w:hAnsi="Arial"/>
          <w:sz w:val="23"/>
          <w:szCs w:val="23"/>
          <w:vertAlign w:val="superscript"/>
        </w:rPr>
      </w:pPr>
      <w:r>
        <w:rPr>
          <w:rFonts w:ascii="Times New Roman" w:eastAsia="Times New Roman" w:hAnsi="Times New Roman" w:cs="Times New Roman"/>
          <w:sz w:val="16"/>
          <w:szCs w:val="16"/>
        </w:rPr>
        <w:t>Beatty, Mark. Blackout of 2003: Public Health Effects and Emergency Response. Public Health Reports. 2006.</w:t>
      </w:r>
    </w:p>
    <w:p w14:paraId="00000137" w14:textId="77777777" w:rsidR="00E73A2B" w:rsidRDefault="00E73A2B">
      <w:pPr>
        <w:spacing w:line="112" w:lineRule="auto"/>
        <w:rPr>
          <w:rFonts w:ascii="Arial" w:eastAsia="Arial" w:hAnsi="Arial"/>
          <w:sz w:val="23"/>
          <w:szCs w:val="23"/>
          <w:vertAlign w:val="superscript"/>
        </w:rPr>
      </w:pPr>
    </w:p>
    <w:p w14:paraId="00000138" w14:textId="77777777" w:rsidR="00E73A2B" w:rsidRDefault="00A25CF8">
      <w:pPr>
        <w:numPr>
          <w:ilvl w:val="0"/>
          <w:numId w:val="9"/>
        </w:numPr>
        <w:tabs>
          <w:tab w:val="left" w:pos="270"/>
        </w:tabs>
        <w:spacing w:line="208" w:lineRule="auto"/>
        <w:ind w:left="280" w:right="840" w:hanging="280"/>
        <w:rPr>
          <w:rFonts w:ascii="Arial" w:eastAsia="Arial" w:hAnsi="Arial"/>
          <w:sz w:val="24"/>
          <w:szCs w:val="24"/>
          <w:vertAlign w:val="superscript"/>
        </w:rPr>
      </w:pPr>
      <w:r>
        <w:rPr>
          <w:rFonts w:ascii="Times New Roman" w:eastAsia="Times New Roman" w:hAnsi="Times New Roman" w:cs="Times New Roman"/>
          <w:sz w:val="17"/>
          <w:szCs w:val="17"/>
        </w:rPr>
        <w:t>Daley, W. Randolf. An Outbreak of Carbon Monoxide Poisoning after a Major Ice St</w:t>
      </w:r>
      <w:r>
        <w:rPr>
          <w:rFonts w:ascii="Times New Roman" w:eastAsia="Times New Roman" w:hAnsi="Times New Roman" w:cs="Times New Roman"/>
          <w:sz w:val="17"/>
          <w:szCs w:val="17"/>
        </w:rPr>
        <w:t>orm in Maine. The Journal of Emergency Medicine. 2000. Vol. 18, No. 1, pp. 87–93.</w:t>
      </w:r>
    </w:p>
    <w:p w14:paraId="00000139" w14:textId="77777777" w:rsidR="00E73A2B" w:rsidRDefault="00E73A2B">
      <w:pPr>
        <w:spacing w:line="108" w:lineRule="auto"/>
        <w:rPr>
          <w:rFonts w:ascii="Arial" w:eastAsia="Arial" w:hAnsi="Arial"/>
          <w:sz w:val="24"/>
          <w:szCs w:val="24"/>
          <w:vertAlign w:val="superscript"/>
        </w:rPr>
      </w:pPr>
    </w:p>
    <w:p w14:paraId="0000013A" w14:textId="77777777" w:rsidR="00E73A2B" w:rsidRDefault="00A25CF8">
      <w:pPr>
        <w:numPr>
          <w:ilvl w:val="0"/>
          <w:numId w:val="9"/>
        </w:numPr>
        <w:tabs>
          <w:tab w:val="left" w:pos="270"/>
        </w:tabs>
        <w:spacing w:line="221" w:lineRule="auto"/>
        <w:ind w:left="280" w:right="120" w:hanging="280"/>
        <w:rPr>
          <w:rFonts w:ascii="Arial" w:eastAsia="Arial" w:hAnsi="Arial"/>
          <w:sz w:val="24"/>
          <w:szCs w:val="24"/>
          <w:vertAlign w:val="superscript"/>
        </w:rPr>
      </w:pPr>
      <w:r w:rsidRPr="00A25CF8">
        <w:rPr>
          <w:rFonts w:ascii="Times New Roman" w:eastAsia="Times New Roman" w:hAnsi="Times New Roman" w:cs="Times New Roman"/>
          <w:sz w:val="17"/>
          <w:szCs w:val="17"/>
          <w:lang w:val="es-CL"/>
        </w:rPr>
        <w:t xml:space="preserve">Muscatiello, Neil, Babcock, G., Jones. </w:t>
      </w:r>
      <w:r>
        <w:rPr>
          <w:rFonts w:ascii="Times New Roman" w:eastAsia="Times New Roman" w:hAnsi="Times New Roman" w:cs="Times New Roman"/>
          <w:sz w:val="17"/>
          <w:szCs w:val="17"/>
        </w:rPr>
        <w:t>R., Horn, E., and Hwang, S.A. Hospital Emergency Department Visits for Carbon Monoxide Poisoning Following an October 2006 Snowstorm in Western New York. Journal of Environmental Health. 2010. Volume 72, Number 6, pag</w:t>
      </w:r>
      <w:r>
        <w:rPr>
          <w:rFonts w:ascii="Times New Roman" w:eastAsia="Times New Roman" w:hAnsi="Times New Roman" w:cs="Times New Roman"/>
          <w:sz w:val="17"/>
          <w:szCs w:val="17"/>
        </w:rPr>
        <w:t>es 43-48.</w:t>
      </w:r>
    </w:p>
    <w:p w14:paraId="0000013B" w14:textId="77777777" w:rsidR="00E73A2B" w:rsidRDefault="00E73A2B">
      <w:pPr>
        <w:spacing w:line="110" w:lineRule="auto"/>
        <w:rPr>
          <w:rFonts w:ascii="Arial" w:eastAsia="Arial" w:hAnsi="Arial"/>
          <w:sz w:val="24"/>
          <w:szCs w:val="24"/>
          <w:vertAlign w:val="superscript"/>
        </w:rPr>
      </w:pPr>
    </w:p>
    <w:p w14:paraId="0000013C" w14:textId="77777777" w:rsidR="00E73A2B" w:rsidRDefault="00A25CF8">
      <w:pPr>
        <w:numPr>
          <w:ilvl w:val="0"/>
          <w:numId w:val="9"/>
        </w:numPr>
        <w:tabs>
          <w:tab w:val="left" w:pos="270"/>
        </w:tabs>
        <w:spacing w:line="208" w:lineRule="auto"/>
        <w:ind w:left="280" w:right="200" w:hanging="280"/>
        <w:rPr>
          <w:rFonts w:ascii="Arial" w:eastAsia="Arial" w:hAnsi="Arial"/>
          <w:sz w:val="24"/>
          <w:szCs w:val="24"/>
          <w:vertAlign w:val="superscript"/>
        </w:rPr>
      </w:pPr>
      <w:r>
        <w:rPr>
          <w:rFonts w:ascii="Times New Roman" w:eastAsia="Times New Roman" w:hAnsi="Times New Roman" w:cs="Times New Roman"/>
          <w:sz w:val="17"/>
          <w:szCs w:val="17"/>
        </w:rPr>
        <w:t>Graber, Judith M. Results from a State-Based Surveillance System for Carbon Monoxide Poisoning. Public Health Reports. 2007. 122:145-154.</w:t>
      </w:r>
    </w:p>
    <w:p w14:paraId="0000013D" w14:textId="77777777" w:rsidR="00E73A2B" w:rsidRDefault="00E73A2B">
      <w:pPr>
        <w:spacing w:line="107" w:lineRule="auto"/>
        <w:rPr>
          <w:rFonts w:ascii="Arial" w:eastAsia="Arial" w:hAnsi="Arial"/>
          <w:sz w:val="24"/>
          <w:szCs w:val="24"/>
          <w:vertAlign w:val="superscript"/>
        </w:rPr>
      </w:pPr>
    </w:p>
    <w:p w14:paraId="0000013E" w14:textId="77777777" w:rsidR="00E73A2B" w:rsidRDefault="00A25CF8">
      <w:pPr>
        <w:numPr>
          <w:ilvl w:val="0"/>
          <w:numId w:val="9"/>
        </w:numPr>
        <w:tabs>
          <w:tab w:val="left" w:pos="270"/>
        </w:tabs>
        <w:spacing w:line="208" w:lineRule="auto"/>
        <w:ind w:left="280" w:right="40" w:hanging="280"/>
        <w:rPr>
          <w:rFonts w:ascii="Arial" w:eastAsia="Arial" w:hAnsi="Arial"/>
          <w:sz w:val="24"/>
          <w:szCs w:val="24"/>
          <w:vertAlign w:val="superscript"/>
        </w:rPr>
      </w:pPr>
      <w:r>
        <w:rPr>
          <w:rFonts w:ascii="Times New Roman" w:eastAsia="Times New Roman" w:hAnsi="Times New Roman" w:cs="Times New Roman"/>
          <w:sz w:val="17"/>
          <w:szCs w:val="17"/>
        </w:rPr>
        <w:t>Center for Disease Control and Prevention. Notes from the Field: Carbon Monoxide Exposures Reported to Poi</w:t>
      </w:r>
      <w:r>
        <w:rPr>
          <w:rFonts w:ascii="Times New Roman" w:eastAsia="Times New Roman" w:hAnsi="Times New Roman" w:cs="Times New Roman"/>
          <w:sz w:val="17"/>
          <w:szCs w:val="17"/>
        </w:rPr>
        <w:t>son Centers and Related to Hurricane Sandy - Northeastern United States. 2012 Morbidity and Mortality Weekly Report. 66(44);905-905.</w:t>
      </w:r>
    </w:p>
    <w:p w14:paraId="0000013F" w14:textId="77777777" w:rsidR="00E73A2B" w:rsidRDefault="00E73A2B">
      <w:pPr>
        <w:spacing w:line="107" w:lineRule="auto"/>
        <w:rPr>
          <w:rFonts w:ascii="Arial" w:eastAsia="Arial" w:hAnsi="Arial"/>
          <w:sz w:val="24"/>
          <w:szCs w:val="24"/>
          <w:vertAlign w:val="superscript"/>
        </w:rPr>
      </w:pPr>
    </w:p>
    <w:p w14:paraId="00000140" w14:textId="77777777" w:rsidR="00E73A2B" w:rsidRDefault="00A25CF8">
      <w:pPr>
        <w:numPr>
          <w:ilvl w:val="0"/>
          <w:numId w:val="9"/>
        </w:numPr>
        <w:tabs>
          <w:tab w:val="left" w:pos="270"/>
        </w:tabs>
        <w:spacing w:line="208" w:lineRule="auto"/>
        <w:ind w:left="280" w:right="80" w:hanging="280"/>
        <w:rPr>
          <w:rFonts w:ascii="Arial" w:eastAsia="Arial" w:hAnsi="Arial"/>
          <w:sz w:val="24"/>
          <w:szCs w:val="24"/>
          <w:vertAlign w:val="superscript"/>
        </w:rPr>
      </w:pPr>
      <w:r>
        <w:rPr>
          <w:rFonts w:ascii="Times New Roman" w:eastAsia="Times New Roman" w:hAnsi="Times New Roman" w:cs="Times New Roman"/>
          <w:sz w:val="17"/>
          <w:szCs w:val="17"/>
        </w:rPr>
        <w:t>The University of Texas at Austin Energy Institute. 2021. The Timeline and Events of the February 2021 Texas Electric Grid</w:t>
      </w:r>
      <w:r>
        <w:rPr>
          <w:rFonts w:ascii="Times New Roman" w:eastAsia="Times New Roman" w:hAnsi="Times New Roman" w:cs="Times New Roman"/>
          <w:sz w:val="17"/>
          <w:szCs w:val="17"/>
        </w:rPr>
        <w:t xml:space="preserve"> Blackouts. Accessed at https://energy.utexas.edu/ercot-blackout-2021.</w:t>
      </w:r>
    </w:p>
    <w:p w14:paraId="00000141" w14:textId="77777777" w:rsidR="00E73A2B" w:rsidRDefault="00E73A2B">
      <w:pPr>
        <w:spacing w:line="376" w:lineRule="auto"/>
        <w:rPr>
          <w:rFonts w:ascii="Times New Roman" w:eastAsia="Times New Roman" w:hAnsi="Times New Roman" w:cs="Times New Roman"/>
        </w:rPr>
      </w:pPr>
    </w:p>
    <w:tbl>
      <w:tblPr>
        <w:tblStyle w:val="af9"/>
        <w:tblW w:w="9360" w:type="dxa"/>
        <w:tblLayout w:type="fixed"/>
        <w:tblLook w:val="0000" w:firstRow="0" w:lastRow="0" w:firstColumn="0" w:lastColumn="0" w:noHBand="0" w:noVBand="0"/>
      </w:tblPr>
      <w:tblGrid>
        <w:gridCol w:w="5460"/>
        <w:gridCol w:w="3900"/>
      </w:tblGrid>
      <w:tr w:rsidR="00E73A2B" w14:paraId="68795F99" w14:textId="77777777">
        <w:trPr>
          <w:trHeight w:val="184"/>
        </w:trPr>
        <w:tc>
          <w:tcPr>
            <w:tcW w:w="5460" w:type="dxa"/>
            <w:shd w:val="clear" w:color="auto" w:fill="auto"/>
            <w:vAlign w:val="bottom"/>
          </w:tcPr>
          <w:p w14:paraId="00000142" w14:textId="77777777" w:rsidR="00E73A2B" w:rsidRDefault="00A25CF8">
            <w:pPr>
              <w:rPr>
                <w:rFonts w:ascii="Arial" w:eastAsia="Arial" w:hAnsi="Arial"/>
                <w:sz w:val="16"/>
                <w:szCs w:val="16"/>
              </w:rPr>
            </w:pPr>
            <w:hyperlink w:anchor="bookmark=id.44sinio">
              <w:r>
                <w:rPr>
                  <w:rFonts w:ascii="Arial" w:eastAsia="Arial" w:hAnsi="Arial"/>
                  <w:sz w:val="16"/>
                  <w:szCs w:val="16"/>
                </w:rPr>
                <w:t>Chapter 8. Public Health</w:t>
              </w:r>
            </w:hyperlink>
          </w:p>
        </w:tc>
        <w:tc>
          <w:tcPr>
            <w:tcW w:w="3900" w:type="dxa"/>
            <w:shd w:val="clear" w:color="auto" w:fill="auto"/>
            <w:vAlign w:val="bottom"/>
          </w:tcPr>
          <w:p w14:paraId="00000143" w14:textId="77777777" w:rsidR="00E73A2B" w:rsidRDefault="00A25CF8">
            <w:pPr>
              <w:jc w:val="right"/>
              <w:rPr>
                <w:rFonts w:ascii="Arial" w:eastAsia="Arial" w:hAnsi="Arial"/>
                <w:sz w:val="16"/>
                <w:szCs w:val="16"/>
              </w:rPr>
            </w:pPr>
            <w:r>
              <w:rPr>
                <w:rFonts w:ascii="Arial" w:eastAsia="Arial" w:hAnsi="Arial"/>
                <w:sz w:val="16"/>
                <w:szCs w:val="16"/>
              </w:rPr>
              <w:t>61</w:t>
            </w:r>
          </w:p>
        </w:tc>
      </w:tr>
    </w:tbl>
    <w:p w14:paraId="00000144" w14:textId="77777777" w:rsidR="00E73A2B" w:rsidRDefault="00E73A2B">
      <w:pPr>
        <w:rPr>
          <w:rFonts w:ascii="Arial" w:eastAsia="Arial" w:hAnsi="Arial"/>
          <w:sz w:val="16"/>
          <w:szCs w:val="16"/>
        </w:rPr>
        <w:sectPr w:rsidR="00E73A2B">
          <w:pgSz w:w="12240" w:h="15840"/>
          <w:pgMar w:top="1440" w:right="1440" w:bottom="395" w:left="1440" w:header="0" w:footer="0" w:gutter="0"/>
          <w:cols w:space="720"/>
        </w:sectPr>
      </w:pPr>
    </w:p>
    <w:p w14:paraId="00000145" w14:textId="77777777" w:rsidR="00E73A2B" w:rsidRDefault="00E73A2B">
      <w:pPr>
        <w:spacing w:line="14" w:lineRule="auto"/>
        <w:rPr>
          <w:rFonts w:ascii="Times New Roman" w:eastAsia="Times New Roman" w:hAnsi="Times New Roman" w:cs="Times New Roman"/>
        </w:rPr>
      </w:pPr>
      <w:bookmarkStart w:id="12" w:name="bookmark=id.4d34og8" w:colFirst="0" w:colLast="0"/>
      <w:bookmarkEnd w:id="12"/>
    </w:p>
    <w:p w14:paraId="00000146" w14:textId="77777777" w:rsidR="00E73A2B" w:rsidRDefault="00A25CF8">
      <w:pPr>
        <w:spacing w:line="358" w:lineRule="auto"/>
        <w:ind w:right="20"/>
        <w:rPr>
          <w:rFonts w:ascii="Times New Roman" w:eastAsia="Times New Roman" w:hAnsi="Times New Roman" w:cs="Times New Roman"/>
          <w:sz w:val="12"/>
          <w:szCs w:val="12"/>
        </w:rPr>
      </w:pPr>
      <w:r>
        <w:rPr>
          <w:rFonts w:ascii="Times New Roman" w:eastAsia="Times New Roman" w:hAnsi="Times New Roman" w:cs="Times New Roman"/>
          <w:sz w:val="22"/>
          <w:szCs w:val="22"/>
        </w:rPr>
        <w:t>energy use sectors. Some of the co-pollutants emitted are associated with an increased risk of respiratory and cardiovascular effects, among others. Numerous studies have investigated the increased risk of these effects by looking at the relationship betwe</w:t>
      </w:r>
      <w:r>
        <w:rPr>
          <w:rFonts w:ascii="Times New Roman" w:eastAsia="Times New Roman" w:hAnsi="Times New Roman" w:cs="Times New Roman"/>
          <w:sz w:val="22"/>
          <w:szCs w:val="22"/>
        </w:rPr>
        <w:t>en traffic patterns and the distance from roadways and the associated pollutant concentrations and health endpoints. Studies have found associations between asthma exacerbation or emergency room visits for respiratory illness and transportation-related fac</w:t>
      </w:r>
      <w:r>
        <w:rPr>
          <w:rFonts w:ascii="Times New Roman" w:eastAsia="Times New Roman" w:hAnsi="Times New Roman" w:cs="Times New Roman"/>
          <w:sz w:val="22"/>
          <w:szCs w:val="22"/>
        </w:rPr>
        <w:t>tors such as traffic proximity or traffic density</w:t>
      </w:r>
      <w:r>
        <w:rPr>
          <w:rFonts w:ascii="Arial" w:eastAsia="Arial" w:hAnsi="Arial"/>
          <w:sz w:val="12"/>
          <w:szCs w:val="12"/>
        </w:rPr>
        <w:t>112</w:t>
      </w:r>
      <w:r>
        <w:rPr>
          <w:rFonts w:ascii="Times New Roman" w:eastAsia="Times New Roman" w:hAnsi="Times New Roman" w:cs="Times New Roman"/>
          <w:sz w:val="22"/>
          <w:szCs w:val="22"/>
        </w:rPr>
        <w:t xml:space="preserve"> and diesel traffic density in particular.</w:t>
      </w:r>
      <w:r>
        <w:rPr>
          <w:rFonts w:ascii="Times New Roman" w:eastAsia="Times New Roman" w:hAnsi="Times New Roman" w:cs="Times New Roman"/>
          <w:sz w:val="12"/>
          <w:szCs w:val="12"/>
        </w:rPr>
        <w:t>113</w:t>
      </w:r>
    </w:p>
    <w:p w14:paraId="00000147" w14:textId="77777777" w:rsidR="00E73A2B" w:rsidRDefault="00E73A2B">
      <w:pPr>
        <w:spacing w:line="352" w:lineRule="auto"/>
        <w:rPr>
          <w:rFonts w:ascii="Times New Roman" w:eastAsia="Times New Roman" w:hAnsi="Times New Roman" w:cs="Times New Roman"/>
        </w:rPr>
      </w:pPr>
    </w:p>
    <w:p w14:paraId="00000148" w14:textId="77777777" w:rsidR="00E73A2B" w:rsidRDefault="00A25CF8">
      <w:pPr>
        <w:spacing w:line="359" w:lineRule="auto"/>
        <w:ind w:right="60"/>
        <w:rPr>
          <w:rFonts w:ascii="Times New Roman" w:eastAsia="Times New Roman" w:hAnsi="Times New Roman" w:cs="Times New Roman"/>
          <w:sz w:val="22"/>
          <w:szCs w:val="22"/>
        </w:rPr>
      </w:pPr>
      <w:r>
        <w:rPr>
          <w:rFonts w:ascii="Times New Roman" w:eastAsia="Times New Roman" w:hAnsi="Times New Roman" w:cs="Times New Roman"/>
          <w:sz w:val="22"/>
          <w:szCs w:val="22"/>
        </w:rPr>
        <w:t>The recommendations for reducing single-occupancy vehicle travel and reducing gasoline and diesel use, discussed further in this Plan, could improve health o</w:t>
      </w:r>
      <w:r>
        <w:rPr>
          <w:rFonts w:ascii="Times New Roman" w:eastAsia="Times New Roman" w:hAnsi="Times New Roman" w:cs="Times New Roman"/>
          <w:sz w:val="22"/>
          <w:szCs w:val="22"/>
        </w:rPr>
        <w:t>utcomes. Transportation emissions have been concentrated in Disadvantaged Communities for generations and decarbonizing the transportation sector provides an opportunity to focus emission reductions in the communities that have historically been overburden</w:t>
      </w:r>
      <w:r>
        <w:rPr>
          <w:rFonts w:ascii="Times New Roman" w:eastAsia="Times New Roman" w:hAnsi="Times New Roman" w:cs="Times New Roman"/>
          <w:sz w:val="22"/>
          <w:szCs w:val="22"/>
        </w:rPr>
        <w:t>ed by pollution.</w:t>
      </w:r>
      <w:r>
        <w:rPr>
          <w:rFonts w:ascii="Arial" w:eastAsia="Arial" w:hAnsi="Arial"/>
          <w:sz w:val="12"/>
          <w:szCs w:val="12"/>
        </w:rPr>
        <w:t>114</w:t>
      </w:r>
      <w:r>
        <w:rPr>
          <w:rFonts w:ascii="Times New Roman" w:eastAsia="Times New Roman" w:hAnsi="Times New Roman" w:cs="Times New Roman"/>
          <w:sz w:val="22"/>
          <w:szCs w:val="22"/>
        </w:rPr>
        <w:t xml:space="preserve"> Additionally, transportation planning that uses Complete Streets policies ensures that considerations are made for the safety of all roadway users (pedestrians, bicyclists, public transportation users, and motorists). Not getting enough</w:t>
      </w:r>
      <w:r>
        <w:rPr>
          <w:rFonts w:ascii="Times New Roman" w:eastAsia="Times New Roman" w:hAnsi="Times New Roman" w:cs="Times New Roman"/>
          <w:sz w:val="22"/>
          <w:szCs w:val="22"/>
        </w:rPr>
        <w:t xml:space="preserve"> physical activity is a risk factor for diabetes and obesity (which are also risk factors for those with high blood pressure and a family history of these health risks). Almost 1.7 million New Yorkers (10.5%) had diabetes in 2016, and obesity has reached e</w:t>
      </w:r>
      <w:r>
        <w:rPr>
          <w:rFonts w:ascii="Times New Roman" w:eastAsia="Times New Roman" w:hAnsi="Times New Roman" w:cs="Times New Roman"/>
          <w:sz w:val="22"/>
          <w:szCs w:val="22"/>
        </w:rPr>
        <w:t>pidemic proportions with more than half (60.8%) of New York adults reported to be overweight or obese in 2016. Being obese or overweight is currently the second leading preventable cause of death in the United States and may soon overtake cardiovascular di</w:t>
      </w:r>
      <w:r>
        <w:rPr>
          <w:rFonts w:ascii="Times New Roman" w:eastAsia="Times New Roman" w:hAnsi="Times New Roman" w:cs="Times New Roman"/>
          <w:sz w:val="22"/>
          <w:szCs w:val="22"/>
        </w:rPr>
        <w:t>sease as the leading cause of death. Additionally, one-third of New York’s children are obese or overweight. A reduction in the reliance on personal automobiles by incorporating smart growth and Complete Streets policies into transportation planning has th</w:t>
      </w:r>
      <w:r>
        <w:rPr>
          <w:rFonts w:ascii="Times New Roman" w:eastAsia="Times New Roman" w:hAnsi="Times New Roman" w:cs="Times New Roman"/>
          <w:sz w:val="22"/>
          <w:szCs w:val="22"/>
        </w:rPr>
        <w:t xml:space="preserve">e benefit of increasing opportunities for physical </w:t>
      </w:r>
      <w:sdt>
        <w:sdtPr>
          <w:tag w:val="goog_rdk_3"/>
          <w:id w:val="648715390"/>
        </w:sdtPr>
        <w:sdtEndPr/>
        <w:sdtContent>
          <w:commentRangeStart w:id="13"/>
        </w:sdtContent>
      </w:sdt>
      <w:r>
        <w:rPr>
          <w:rFonts w:ascii="Times New Roman" w:eastAsia="Times New Roman" w:hAnsi="Times New Roman" w:cs="Times New Roman"/>
          <w:sz w:val="22"/>
          <w:szCs w:val="22"/>
        </w:rPr>
        <w:t>activity</w:t>
      </w:r>
      <w:commentRangeEnd w:id="13"/>
      <w:r>
        <w:commentReference w:id="13"/>
      </w:r>
      <w:r>
        <w:rPr>
          <w:rFonts w:ascii="Times New Roman" w:eastAsia="Times New Roman" w:hAnsi="Times New Roman" w:cs="Times New Roman"/>
          <w:sz w:val="22"/>
          <w:szCs w:val="22"/>
        </w:rPr>
        <w:t>. In recent years, studies have begun to examine the relationship between neighborhood walkability and physical activity levels, body mass index, waist circumference, obesity, and hypertension</w:t>
      </w:r>
      <w:r>
        <w:rPr>
          <w:rFonts w:ascii="Times New Roman" w:eastAsia="Times New Roman" w:hAnsi="Times New Roman" w:cs="Times New Roman"/>
          <w:sz w:val="22"/>
          <w:szCs w:val="22"/>
        </w:rPr>
        <w:t>. These studies have generally shown that neighborhood walkability is associated with increased physical activity and decreased body mass index, waist circumference, obesity, and hypertension.</w:t>
      </w:r>
    </w:p>
    <w:p w14:paraId="00000149" w14:textId="77777777" w:rsidR="00E73A2B" w:rsidRDefault="00A25CF8">
      <w:pPr>
        <w:spacing w:line="20" w:lineRule="auto"/>
        <w:rPr>
          <w:rFonts w:ascii="Times New Roman" w:eastAsia="Times New Roman" w:hAnsi="Times New Roman" w:cs="Times New Roman"/>
        </w:rPr>
      </w:pPr>
      <w:r>
        <w:rPr>
          <w:noProof/>
        </w:rPr>
        <mc:AlternateContent>
          <mc:Choice Requires="wpg">
            <w:drawing>
              <wp:anchor distT="0" distB="0" distL="0" distR="0" simplePos="0" relativeHeight="251667456" behindDoc="1" locked="0" layoutInCell="1" hidden="0" allowOverlap="1">
                <wp:simplePos x="0" y="0"/>
                <wp:positionH relativeFrom="column">
                  <wp:posOffset>0</wp:posOffset>
                </wp:positionH>
                <wp:positionV relativeFrom="paragraph">
                  <wp:posOffset>431800</wp:posOffset>
                </wp:positionV>
                <wp:extent cx="1838325" cy="22225"/>
                <wp:effectExtent l="0" t="0" r="0" b="0"/>
                <wp:wrapNone/>
                <wp:docPr id="43" name=""/>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431800</wp:posOffset>
                </wp:positionV>
                <wp:extent cx="1838325" cy="22225"/>
                <wp:effectExtent b="0" l="0" r="0" t="0"/>
                <wp:wrapNone/>
                <wp:docPr id="43" name="image11.png"/>
                <a:graphic>
                  <a:graphicData uri="http://schemas.openxmlformats.org/drawingml/2006/picture">
                    <pic:pic>
                      <pic:nvPicPr>
                        <pic:cNvPr id="0" name="image11.png"/>
                        <pic:cNvPicPr preferRelativeResize="0"/>
                      </pic:nvPicPr>
                      <pic:blipFill>
                        <a:blip r:embed="rId24"/>
                        <a:srcRect/>
                        <a:stretch>
                          <a:fillRect/>
                        </a:stretch>
                      </pic:blipFill>
                      <pic:spPr>
                        <a:xfrm>
                          <a:off x="0" y="0"/>
                          <a:ext cx="1838325" cy="22225"/>
                        </a:xfrm>
                        <a:prstGeom prst="rect"/>
                        <a:ln/>
                      </pic:spPr>
                    </pic:pic>
                  </a:graphicData>
                </a:graphic>
              </wp:anchor>
            </w:drawing>
          </mc:Fallback>
        </mc:AlternateContent>
      </w:r>
    </w:p>
    <w:p w14:paraId="0000014A" w14:textId="77777777" w:rsidR="00E73A2B" w:rsidRDefault="00E73A2B">
      <w:pPr>
        <w:spacing w:line="200" w:lineRule="auto"/>
        <w:rPr>
          <w:rFonts w:ascii="Times New Roman" w:eastAsia="Times New Roman" w:hAnsi="Times New Roman" w:cs="Times New Roman"/>
        </w:rPr>
      </w:pPr>
    </w:p>
    <w:p w14:paraId="0000014B" w14:textId="77777777" w:rsidR="00E73A2B" w:rsidRDefault="00E73A2B">
      <w:pPr>
        <w:spacing w:line="200" w:lineRule="auto"/>
        <w:rPr>
          <w:rFonts w:ascii="Times New Roman" w:eastAsia="Times New Roman" w:hAnsi="Times New Roman" w:cs="Times New Roman"/>
        </w:rPr>
      </w:pPr>
    </w:p>
    <w:p w14:paraId="0000014C" w14:textId="77777777" w:rsidR="00E73A2B" w:rsidRDefault="00E73A2B">
      <w:pPr>
        <w:spacing w:line="200" w:lineRule="auto"/>
        <w:rPr>
          <w:rFonts w:ascii="Times New Roman" w:eastAsia="Times New Roman" w:hAnsi="Times New Roman" w:cs="Times New Roman"/>
        </w:rPr>
      </w:pPr>
    </w:p>
    <w:p w14:paraId="0000014D" w14:textId="77777777" w:rsidR="00E73A2B" w:rsidRDefault="00E73A2B">
      <w:pPr>
        <w:spacing w:line="381" w:lineRule="auto"/>
        <w:rPr>
          <w:rFonts w:ascii="Times New Roman" w:eastAsia="Times New Roman" w:hAnsi="Times New Roman" w:cs="Times New Roman"/>
        </w:rPr>
      </w:pPr>
    </w:p>
    <w:p w14:paraId="0000014E" w14:textId="77777777" w:rsidR="00E73A2B" w:rsidRDefault="00A25CF8">
      <w:pPr>
        <w:numPr>
          <w:ilvl w:val="0"/>
          <w:numId w:val="5"/>
        </w:numPr>
        <w:tabs>
          <w:tab w:val="left" w:pos="270"/>
        </w:tabs>
        <w:spacing w:line="207" w:lineRule="auto"/>
        <w:ind w:left="280" w:right="140" w:hanging="280"/>
        <w:rPr>
          <w:rFonts w:ascii="Arial" w:eastAsia="Arial" w:hAnsi="Arial"/>
          <w:sz w:val="24"/>
          <w:szCs w:val="24"/>
          <w:vertAlign w:val="superscript"/>
        </w:rPr>
      </w:pPr>
      <w:r>
        <w:rPr>
          <w:rFonts w:ascii="Times New Roman" w:eastAsia="Times New Roman" w:hAnsi="Times New Roman" w:cs="Times New Roman"/>
          <w:sz w:val="17"/>
          <w:szCs w:val="17"/>
        </w:rPr>
        <w:t>Lin, S., Munsie, J.P., Hwang, S.A., Fitzgerald, E., Cayo,</w:t>
      </w:r>
      <w:r>
        <w:rPr>
          <w:rFonts w:ascii="Times New Roman" w:eastAsia="Times New Roman" w:hAnsi="Times New Roman" w:cs="Times New Roman"/>
          <w:sz w:val="17"/>
          <w:szCs w:val="17"/>
        </w:rPr>
        <w:t xml:space="preserve"> M.R.. Childhood Asthma Hospitalization and Residential Exposure to State Route Traffic. Environmental Research. 2002. Section A (88): 73-81.</w:t>
      </w:r>
    </w:p>
    <w:p w14:paraId="0000014F" w14:textId="77777777" w:rsidR="00E73A2B" w:rsidRDefault="00E73A2B">
      <w:pPr>
        <w:spacing w:line="14" w:lineRule="auto"/>
        <w:rPr>
          <w:rFonts w:ascii="Arial" w:eastAsia="Arial" w:hAnsi="Arial"/>
          <w:sz w:val="24"/>
          <w:szCs w:val="24"/>
          <w:vertAlign w:val="superscript"/>
        </w:rPr>
      </w:pPr>
    </w:p>
    <w:p w14:paraId="00000150" w14:textId="77777777" w:rsidR="00E73A2B" w:rsidRDefault="00A25CF8">
      <w:pPr>
        <w:spacing w:line="233" w:lineRule="auto"/>
        <w:ind w:left="280" w:right="40"/>
        <w:rPr>
          <w:rFonts w:ascii="Times New Roman" w:eastAsia="Times New Roman" w:hAnsi="Times New Roman" w:cs="Times New Roman"/>
          <w:sz w:val="18"/>
          <w:szCs w:val="18"/>
        </w:rPr>
      </w:pPr>
      <w:r>
        <w:rPr>
          <w:rFonts w:ascii="Times New Roman" w:eastAsia="Times New Roman" w:hAnsi="Times New Roman" w:cs="Times New Roman"/>
          <w:sz w:val="18"/>
          <w:szCs w:val="18"/>
        </w:rPr>
        <w:t>Lwebuga-Mukasa, James S. Traffic Volumes and Respiratory Health Care Utilization among Residents in Close Proximity to the Peace Bridge Before and After September 11, 2001. Journal of Asthma. 2003. 40(8): 855-864.</w:t>
      </w:r>
    </w:p>
    <w:p w14:paraId="00000151" w14:textId="77777777" w:rsidR="00E73A2B" w:rsidRDefault="00E73A2B">
      <w:pPr>
        <w:spacing w:line="14" w:lineRule="auto"/>
        <w:rPr>
          <w:rFonts w:ascii="Arial" w:eastAsia="Arial" w:hAnsi="Arial"/>
          <w:sz w:val="24"/>
          <w:szCs w:val="24"/>
          <w:vertAlign w:val="superscript"/>
        </w:rPr>
      </w:pPr>
    </w:p>
    <w:p w14:paraId="00000152" w14:textId="77777777" w:rsidR="00E73A2B" w:rsidRDefault="00A25CF8">
      <w:pPr>
        <w:ind w:left="280"/>
        <w:rPr>
          <w:rFonts w:ascii="Times New Roman" w:eastAsia="Times New Roman" w:hAnsi="Times New Roman" w:cs="Times New Roman"/>
          <w:sz w:val="18"/>
          <w:szCs w:val="18"/>
        </w:rPr>
      </w:pPr>
      <w:r>
        <w:rPr>
          <w:rFonts w:ascii="Times New Roman" w:eastAsia="Times New Roman" w:hAnsi="Times New Roman" w:cs="Times New Roman"/>
          <w:sz w:val="18"/>
          <w:szCs w:val="18"/>
        </w:rPr>
        <w:t>Kim, Janice. Residential Traffic and Chil</w:t>
      </w:r>
      <w:r>
        <w:rPr>
          <w:rFonts w:ascii="Times New Roman" w:eastAsia="Times New Roman" w:hAnsi="Times New Roman" w:cs="Times New Roman"/>
          <w:sz w:val="18"/>
          <w:szCs w:val="18"/>
        </w:rPr>
        <w:t>dren’s Respiratory Health. Environmental Health Perspectives. 2008. 16(9):1274-9.</w:t>
      </w:r>
    </w:p>
    <w:p w14:paraId="00000153" w14:textId="77777777" w:rsidR="00E73A2B" w:rsidRDefault="00E73A2B">
      <w:pPr>
        <w:spacing w:line="105" w:lineRule="auto"/>
        <w:rPr>
          <w:rFonts w:ascii="Arial" w:eastAsia="Arial" w:hAnsi="Arial"/>
          <w:sz w:val="24"/>
          <w:szCs w:val="24"/>
          <w:vertAlign w:val="superscript"/>
        </w:rPr>
      </w:pPr>
    </w:p>
    <w:p w14:paraId="00000154" w14:textId="77777777" w:rsidR="00E73A2B" w:rsidRDefault="00A25CF8">
      <w:pPr>
        <w:numPr>
          <w:ilvl w:val="0"/>
          <w:numId w:val="5"/>
        </w:numPr>
        <w:tabs>
          <w:tab w:val="left" w:pos="270"/>
        </w:tabs>
        <w:spacing w:line="208" w:lineRule="auto"/>
        <w:ind w:left="280" w:right="500" w:hanging="280"/>
        <w:rPr>
          <w:rFonts w:ascii="Arial" w:eastAsia="Arial" w:hAnsi="Arial"/>
          <w:sz w:val="24"/>
          <w:szCs w:val="24"/>
          <w:vertAlign w:val="superscript"/>
        </w:rPr>
      </w:pPr>
      <w:r>
        <w:rPr>
          <w:rFonts w:ascii="Times New Roman" w:eastAsia="Times New Roman" w:hAnsi="Times New Roman" w:cs="Times New Roman"/>
          <w:sz w:val="17"/>
          <w:szCs w:val="17"/>
        </w:rPr>
        <w:t>McCreanor, James. Respiratory Effects of Exposure to Diesel Traffic in Persons with Asthma. New England Journal of Medicine. 2007. 357(23):2348-58.</w:t>
      </w:r>
    </w:p>
    <w:p w14:paraId="00000155" w14:textId="77777777" w:rsidR="00E73A2B" w:rsidRDefault="00E73A2B">
      <w:pPr>
        <w:spacing w:line="107" w:lineRule="auto"/>
        <w:rPr>
          <w:rFonts w:ascii="Arial" w:eastAsia="Arial" w:hAnsi="Arial"/>
          <w:sz w:val="24"/>
          <w:szCs w:val="24"/>
          <w:vertAlign w:val="superscript"/>
        </w:rPr>
      </w:pPr>
    </w:p>
    <w:p w14:paraId="00000156" w14:textId="77777777" w:rsidR="00E73A2B" w:rsidRDefault="00A25CF8">
      <w:pPr>
        <w:numPr>
          <w:ilvl w:val="0"/>
          <w:numId w:val="5"/>
        </w:numPr>
        <w:tabs>
          <w:tab w:val="left" w:pos="270"/>
        </w:tabs>
        <w:spacing w:line="208" w:lineRule="auto"/>
        <w:ind w:left="280" w:right="220" w:hanging="280"/>
        <w:rPr>
          <w:rFonts w:ascii="Arial" w:eastAsia="Arial" w:hAnsi="Arial"/>
          <w:sz w:val="24"/>
          <w:szCs w:val="24"/>
          <w:vertAlign w:val="superscript"/>
        </w:rPr>
      </w:pPr>
      <w:r>
        <w:rPr>
          <w:rFonts w:ascii="Times New Roman" w:eastAsia="Times New Roman" w:hAnsi="Times New Roman" w:cs="Times New Roman"/>
          <w:sz w:val="17"/>
          <w:szCs w:val="17"/>
        </w:rPr>
        <w:t>New York State Departmen</w:t>
      </w:r>
      <w:r>
        <w:rPr>
          <w:rFonts w:ascii="Times New Roman" w:eastAsia="Times New Roman" w:hAnsi="Times New Roman" w:cs="Times New Roman"/>
          <w:sz w:val="17"/>
          <w:szCs w:val="17"/>
        </w:rPr>
        <w:t>t of Transportation, “Complete Streets,” Department of Transportation, Accessed on November 23, 2021, https://www.dot.ny.gov/programs/completestreets.</w:t>
      </w:r>
    </w:p>
    <w:p w14:paraId="00000157" w14:textId="77777777" w:rsidR="00E73A2B" w:rsidRDefault="00E73A2B">
      <w:pPr>
        <w:spacing w:line="376" w:lineRule="auto"/>
        <w:rPr>
          <w:rFonts w:ascii="Times New Roman" w:eastAsia="Times New Roman" w:hAnsi="Times New Roman" w:cs="Times New Roman"/>
        </w:rPr>
      </w:pPr>
    </w:p>
    <w:tbl>
      <w:tblPr>
        <w:tblStyle w:val="afa"/>
        <w:tblW w:w="9360" w:type="dxa"/>
        <w:tblLayout w:type="fixed"/>
        <w:tblLook w:val="0000" w:firstRow="0" w:lastRow="0" w:firstColumn="0" w:lastColumn="0" w:noHBand="0" w:noVBand="0"/>
      </w:tblPr>
      <w:tblGrid>
        <w:gridCol w:w="5460"/>
        <w:gridCol w:w="3900"/>
      </w:tblGrid>
      <w:tr w:rsidR="00E73A2B" w14:paraId="07984AF1" w14:textId="77777777">
        <w:trPr>
          <w:trHeight w:val="184"/>
        </w:trPr>
        <w:tc>
          <w:tcPr>
            <w:tcW w:w="5460" w:type="dxa"/>
            <w:shd w:val="clear" w:color="auto" w:fill="auto"/>
            <w:vAlign w:val="bottom"/>
          </w:tcPr>
          <w:p w14:paraId="00000158" w14:textId="77777777" w:rsidR="00E73A2B" w:rsidRDefault="00A25CF8">
            <w:pPr>
              <w:rPr>
                <w:rFonts w:ascii="Arial" w:eastAsia="Arial" w:hAnsi="Arial"/>
                <w:sz w:val="16"/>
                <w:szCs w:val="16"/>
              </w:rPr>
            </w:pPr>
            <w:hyperlink w:anchor="bookmark=id.44sinio">
              <w:r>
                <w:rPr>
                  <w:rFonts w:ascii="Arial" w:eastAsia="Arial" w:hAnsi="Arial"/>
                  <w:sz w:val="16"/>
                  <w:szCs w:val="16"/>
                </w:rPr>
                <w:t>Chapter 8. Public Health</w:t>
              </w:r>
            </w:hyperlink>
          </w:p>
        </w:tc>
        <w:tc>
          <w:tcPr>
            <w:tcW w:w="3900" w:type="dxa"/>
            <w:shd w:val="clear" w:color="auto" w:fill="auto"/>
            <w:vAlign w:val="bottom"/>
          </w:tcPr>
          <w:p w14:paraId="00000159" w14:textId="77777777" w:rsidR="00E73A2B" w:rsidRDefault="00A25CF8">
            <w:pPr>
              <w:jc w:val="right"/>
              <w:rPr>
                <w:rFonts w:ascii="Arial" w:eastAsia="Arial" w:hAnsi="Arial"/>
                <w:sz w:val="16"/>
                <w:szCs w:val="16"/>
              </w:rPr>
            </w:pPr>
            <w:r>
              <w:rPr>
                <w:rFonts w:ascii="Arial" w:eastAsia="Arial" w:hAnsi="Arial"/>
                <w:sz w:val="16"/>
                <w:szCs w:val="16"/>
              </w:rPr>
              <w:t>62</w:t>
            </w:r>
          </w:p>
        </w:tc>
      </w:tr>
    </w:tbl>
    <w:p w14:paraId="0000015A" w14:textId="77777777" w:rsidR="00E73A2B" w:rsidRDefault="00E73A2B">
      <w:pPr>
        <w:rPr>
          <w:rFonts w:ascii="Arial" w:eastAsia="Arial" w:hAnsi="Arial"/>
          <w:sz w:val="16"/>
          <w:szCs w:val="16"/>
        </w:rPr>
        <w:sectPr w:rsidR="00E73A2B">
          <w:pgSz w:w="12240" w:h="15840"/>
          <w:pgMar w:top="1440" w:right="1440" w:bottom="395" w:left="1440" w:header="0" w:footer="0" w:gutter="0"/>
          <w:cols w:space="720"/>
        </w:sectPr>
      </w:pPr>
    </w:p>
    <w:p w14:paraId="0000015B" w14:textId="77777777" w:rsidR="00E73A2B" w:rsidRDefault="00E73A2B">
      <w:pPr>
        <w:spacing w:line="14" w:lineRule="auto"/>
        <w:rPr>
          <w:rFonts w:ascii="Times New Roman" w:eastAsia="Times New Roman" w:hAnsi="Times New Roman" w:cs="Times New Roman"/>
        </w:rPr>
      </w:pPr>
      <w:bookmarkStart w:id="14" w:name="bookmark=id.2s8eyo1" w:colFirst="0" w:colLast="0"/>
      <w:bookmarkEnd w:id="14"/>
    </w:p>
    <w:p w14:paraId="0000015C" w14:textId="77777777" w:rsidR="00E73A2B" w:rsidRDefault="00A25CF8">
      <w:pPr>
        <w:spacing w:line="358" w:lineRule="auto"/>
        <w:ind w:right="60"/>
        <w:rPr>
          <w:rFonts w:ascii="Arial" w:eastAsia="Arial" w:hAnsi="Arial"/>
          <w:sz w:val="12"/>
          <w:szCs w:val="12"/>
        </w:rPr>
      </w:pPr>
      <w:r>
        <w:rPr>
          <w:rFonts w:ascii="Times New Roman" w:eastAsia="Times New Roman" w:hAnsi="Times New Roman" w:cs="Times New Roman"/>
          <w:sz w:val="22"/>
          <w:szCs w:val="22"/>
        </w:rPr>
        <w:t xml:space="preserve">Health risks associated with transportation emissions can be reduced with a shift toward technologies that do not rely on carbon-based fuels and the enhancement of public transportation systems and other low-carbon mobility options. Currently, most mobile </w:t>
      </w:r>
      <w:r>
        <w:rPr>
          <w:rFonts w:ascii="Times New Roman" w:eastAsia="Times New Roman" w:hAnsi="Times New Roman" w:cs="Times New Roman"/>
          <w:sz w:val="22"/>
          <w:szCs w:val="22"/>
        </w:rPr>
        <w:t>source emissions result from the combustion of gasoline and traditional petroleum-based diesel fuel. When compared with petroleum-based fuels, biodiesel and alcohol-based fuels have higher levels of combustion emissions of respiratory irritants and some oz</w:t>
      </w:r>
      <w:r>
        <w:rPr>
          <w:rFonts w:ascii="Times New Roman" w:eastAsia="Times New Roman" w:hAnsi="Times New Roman" w:cs="Times New Roman"/>
          <w:sz w:val="22"/>
          <w:szCs w:val="22"/>
        </w:rPr>
        <w:t>one-precursors such as acrolein, carcinogens, formaldehyde, and acetaldehyde.</w:t>
      </w:r>
      <w:r>
        <w:rPr>
          <w:rFonts w:ascii="Arial" w:eastAsia="Arial" w:hAnsi="Arial"/>
          <w:sz w:val="12"/>
          <w:szCs w:val="12"/>
        </w:rPr>
        <w:t>115</w:t>
      </w:r>
      <w:r>
        <w:rPr>
          <w:rFonts w:ascii="Times New Roman" w:eastAsia="Times New Roman" w:hAnsi="Times New Roman" w:cs="Times New Roman"/>
          <w:sz w:val="22"/>
          <w:szCs w:val="22"/>
        </w:rPr>
        <w:t xml:space="preserve"> Work conducted as part of the New York “Renewable Fuels Roadmap” discusses research suggesting that replacing gasoline with ethanol reduces emissions of carcinogenic benzene a</w:t>
      </w:r>
      <w:r>
        <w:rPr>
          <w:rFonts w:ascii="Times New Roman" w:eastAsia="Times New Roman" w:hAnsi="Times New Roman" w:cs="Times New Roman"/>
          <w:sz w:val="22"/>
          <w:szCs w:val="22"/>
        </w:rPr>
        <w:t>nd butadiene but increases emissions of formaldehyde and acetaldehyde, which have other health impacts.</w:t>
      </w:r>
      <w:r>
        <w:rPr>
          <w:rFonts w:ascii="Arial" w:eastAsia="Arial" w:hAnsi="Arial"/>
          <w:sz w:val="12"/>
          <w:szCs w:val="12"/>
        </w:rPr>
        <w:t>116</w:t>
      </w:r>
    </w:p>
    <w:p w14:paraId="0000015D" w14:textId="77777777" w:rsidR="00E73A2B" w:rsidRDefault="00E73A2B">
      <w:pPr>
        <w:spacing w:line="361" w:lineRule="auto"/>
        <w:rPr>
          <w:rFonts w:ascii="Times New Roman" w:eastAsia="Times New Roman" w:hAnsi="Times New Roman" w:cs="Times New Roman"/>
        </w:rPr>
      </w:pPr>
    </w:p>
    <w:p w14:paraId="0000015E" w14:textId="77777777" w:rsidR="00E73A2B" w:rsidRDefault="00A25CF8">
      <w:pPr>
        <w:spacing w:line="359" w:lineRule="auto"/>
        <w:ind w:right="40"/>
        <w:rPr>
          <w:rFonts w:ascii="Times New Roman" w:eastAsia="Times New Roman" w:hAnsi="Times New Roman" w:cs="Times New Roman"/>
          <w:sz w:val="22"/>
          <w:szCs w:val="22"/>
        </w:rPr>
      </w:pPr>
      <w:r>
        <w:rPr>
          <w:rFonts w:ascii="Times New Roman" w:eastAsia="Times New Roman" w:hAnsi="Times New Roman" w:cs="Times New Roman"/>
          <w:sz w:val="22"/>
          <w:szCs w:val="22"/>
        </w:rPr>
        <w:t>Widely used public transportation results in considerably less fuel use and air contaminant emissions per person-mile traveled than other modes of t</w:t>
      </w:r>
      <w:r>
        <w:rPr>
          <w:rFonts w:ascii="Times New Roman" w:eastAsia="Times New Roman" w:hAnsi="Times New Roman" w:cs="Times New Roman"/>
          <w:sz w:val="22"/>
          <w:szCs w:val="22"/>
        </w:rPr>
        <w:t>ransportation such as personal cars. Therefore, targeted geographic and temporal expansion of public transportation availability could reduce health risks associated with transportation emissions. Electrifying transit buses can ensure that emissions are re</w:t>
      </w:r>
      <w:r>
        <w:rPr>
          <w:rFonts w:ascii="Times New Roman" w:eastAsia="Times New Roman" w:hAnsi="Times New Roman" w:cs="Times New Roman"/>
          <w:sz w:val="22"/>
          <w:szCs w:val="22"/>
        </w:rPr>
        <w:t>duced even further. Investments in transit bus electrification will benefit overburdened communities, both because many bus depots are located in these areas and because buses provide essential transportation services in these areas. Regulations limit scho</w:t>
      </w:r>
      <w:r>
        <w:rPr>
          <w:rFonts w:ascii="Times New Roman" w:eastAsia="Times New Roman" w:hAnsi="Times New Roman" w:cs="Times New Roman"/>
          <w:sz w:val="22"/>
          <w:szCs w:val="22"/>
        </w:rPr>
        <w:t>ol bus and heavy-duty vehicle idling, which produces harmful emissions, to protect the health of school children and others exposed to this type of air pollution and electrification of vehicles will reduce these harmful pollutants even further.</w:t>
      </w:r>
      <w:r>
        <w:rPr>
          <w:rFonts w:ascii="Arial" w:eastAsia="Arial" w:hAnsi="Arial"/>
          <w:sz w:val="12"/>
          <w:szCs w:val="12"/>
        </w:rPr>
        <w:t>117</w:t>
      </w:r>
      <w:r>
        <w:rPr>
          <w:rFonts w:ascii="Times New Roman" w:eastAsia="Times New Roman" w:hAnsi="Times New Roman" w:cs="Times New Roman"/>
          <w:sz w:val="22"/>
          <w:szCs w:val="22"/>
        </w:rPr>
        <w:t xml:space="preserve"> Electrif</w:t>
      </w:r>
      <w:r>
        <w:rPr>
          <w:rFonts w:ascii="Times New Roman" w:eastAsia="Times New Roman" w:hAnsi="Times New Roman" w:cs="Times New Roman"/>
          <w:sz w:val="22"/>
          <w:szCs w:val="22"/>
        </w:rPr>
        <w:t>ication of school buses would also prevent exposure of school children to diesel exhaust which often leaks into the cabin of buses posing a larger health threat than outdoor idling emissions. Electrification of heavy-duty farm equipment and construction ve</w:t>
      </w:r>
      <w:r>
        <w:rPr>
          <w:rFonts w:ascii="Times New Roman" w:eastAsia="Times New Roman" w:hAnsi="Times New Roman" w:cs="Times New Roman"/>
          <w:sz w:val="22"/>
          <w:szCs w:val="22"/>
        </w:rPr>
        <w:t>hicles, that are typically diesel-powered, will protect the health of farm and construction workers and reduce emissions (and noise) in rural and urban areas where that are often in close proximity to residents and pedestrians. Emissions associated with tr</w:t>
      </w:r>
      <w:r>
        <w:rPr>
          <w:rFonts w:ascii="Times New Roman" w:eastAsia="Times New Roman" w:hAnsi="Times New Roman" w:cs="Times New Roman"/>
          <w:sz w:val="22"/>
          <w:szCs w:val="22"/>
        </w:rPr>
        <w:t>ansportation can also be reduced through carpools and investments in infrastructure that supports safe walking and bicycling.</w:t>
      </w:r>
    </w:p>
    <w:p w14:paraId="0000015F" w14:textId="77777777" w:rsidR="00E73A2B" w:rsidRDefault="00A25CF8">
      <w:pPr>
        <w:spacing w:line="20" w:lineRule="auto"/>
        <w:rPr>
          <w:rFonts w:ascii="Times New Roman" w:eastAsia="Times New Roman" w:hAnsi="Times New Roman" w:cs="Times New Roman"/>
        </w:rPr>
      </w:pPr>
      <w:r>
        <w:rPr>
          <w:noProof/>
        </w:rPr>
        <mc:AlternateContent>
          <mc:Choice Requires="wpg">
            <w:drawing>
              <wp:anchor distT="0" distB="0" distL="0" distR="0" simplePos="0" relativeHeight="251668480" behindDoc="1" locked="0" layoutInCell="1" hidden="0" allowOverlap="1">
                <wp:simplePos x="0" y="0"/>
                <wp:positionH relativeFrom="column">
                  <wp:posOffset>0</wp:posOffset>
                </wp:positionH>
                <wp:positionV relativeFrom="paragraph">
                  <wp:posOffset>457200</wp:posOffset>
                </wp:positionV>
                <wp:extent cx="1838325" cy="22225"/>
                <wp:effectExtent l="0" t="0" r="0" b="0"/>
                <wp:wrapNone/>
                <wp:docPr id="35" name=""/>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457200</wp:posOffset>
                </wp:positionV>
                <wp:extent cx="1838325" cy="22225"/>
                <wp:effectExtent b="0" l="0" r="0" t="0"/>
                <wp:wrapNone/>
                <wp:docPr id="35" name="image3.png"/>
                <a:graphic>
                  <a:graphicData uri="http://schemas.openxmlformats.org/drawingml/2006/picture">
                    <pic:pic>
                      <pic:nvPicPr>
                        <pic:cNvPr id="0" name="image3.png"/>
                        <pic:cNvPicPr preferRelativeResize="0"/>
                      </pic:nvPicPr>
                      <pic:blipFill>
                        <a:blip r:embed="rId25"/>
                        <a:srcRect/>
                        <a:stretch>
                          <a:fillRect/>
                        </a:stretch>
                      </pic:blipFill>
                      <pic:spPr>
                        <a:xfrm>
                          <a:off x="0" y="0"/>
                          <a:ext cx="1838325" cy="22225"/>
                        </a:xfrm>
                        <a:prstGeom prst="rect"/>
                        <a:ln/>
                      </pic:spPr>
                    </pic:pic>
                  </a:graphicData>
                </a:graphic>
              </wp:anchor>
            </w:drawing>
          </mc:Fallback>
        </mc:AlternateContent>
      </w:r>
    </w:p>
    <w:p w14:paraId="00000160" w14:textId="77777777" w:rsidR="00E73A2B" w:rsidRDefault="00E73A2B">
      <w:pPr>
        <w:spacing w:line="200" w:lineRule="auto"/>
        <w:rPr>
          <w:rFonts w:ascii="Times New Roman" w:eastAsia="Times New Roman" w:hAnsi="Times New Roman" w:cs="Times New Roman"/>
        </w:rPr>
      </w:pPr>
    </w:p>
    <w:p w14:paraId="00000161" w14:textId="77777777" w:rsidR="00E73A2B" w:rsidRDefault="00E73A2B">
      <w:pPr>
        <w:spacing w:line="200" w:lineRule="auto"/>
        <w:rPr>
          <w:rFonts w:ascii="Times New Roman" w:eastAsia="Times New Roman" w:hAnsi="Times New Roman" w:cs="Times New Roman"/>
        </w:rPr>
      </w:pPr>
    </w:p>
    <w:p w14:paraId="00000162" w14:textId="77777777" w:rsidR="00E73A2B" w:rsidRDefault="00E73A2B">
      <w:pPr>
        <w:spacing w:line="200" w:lineRule="auto"/>
        <w:rPr>
          <w:rFonts w:ascii="Times New Roman" w:eastAsia="Times New Roman" w:hAnsi="Times New Roman" w:cs="Times New Roman"/>
        </w:rPr>
      </w:pPr>
    </w:p>
    <w:p w14:paraId="00000163" w14:textId="77777777" w:rsidR="00E73A2B" w:rsidRDefault="00E73A2B">
      <w:pPr>
        <w:spacing w:line="200" w:lineRule="auto"/>
        <w:rPr>
          <w:rFonts w:ascii="Times New Roman" w:eastAsia="Times New Roman" w:hAnsi="Times New Roman" w:cs="Times New Roman"/>
        </w:rPr>
      </w:pPr>
    </w:p>
    <w:p w14:paraId="00000164" w14:textId="77777777" w:rsidR="00E73A2B" w:rsidRDefault="00E73A2B">
      <w:pPr>
        <w:spacing w:line="232" w:lineRule="auto"/>
        <w:rPr>
          <w:rFonts w:ascii="Times New Roman" w:eastAsia="Times New Roman" w:hAnsi="Times New Roman" w:cs="Times New Roman"/>
        </w:rPr>
      </w:pPr>
    </w:p>
    <w:p w14:paraId="00000165" w14:textId="77777777" w:rsidR="00E73A2B" w:rsidRDefault="00A25CF8">
      <w:pPr>
        <w:numPr>
          <w:ilvl w:val="0"/>
          <w:numId w:val="7"/>
        </w:numPr>
        <w:tabs>
          <w:tab w:val="left" w:pos="270"/>
        </w:tabs>
        <w:spacing w:line="208" w:lineRule="auto"/>
        <w:ind w:left="280" w:right="420" w:hanging="280"/>
        <w:rPr>
          <w:rFonts w:ascii="Arial" w:eastAsia="Arial" w:hAnsi="Arial"/>
          <w:sz w:val="24"/>
          <w:szCs w:val="24"/>
          <w:vertAlign w:val="superscript"/>
        </w:rPr>
      </w:pPr>
      <w:r>
        <w:rPr>
          <w:rFonts w:ascii="Times New Roman" w:eastAsia="Times New Roman" w:hAnsi="Times New Roman" w:cs="Times New Roman"/>
          <w:sz w:val="17"/>
          <w:szCs w:val="17"/>
        </w:rPr>
        <w:t xml:space="preserve">Corrêa, Sergio M. and Arbilla, G. Formaldehyde and Acetaldehyde Associated with the Use of Natural Gas as a Fuel for Light </w:t>
      </w:r>
      <w:r>
        <w:rPr>
          <w:rFonts w:ascii="Times New Roman" w:eastAsia="Times New Roman" w:hAnsi="Times New Roman" w:cs="Times New Roman"/>
          <w:sz w:val="17"/>
          <w:szCs w:val="17"/>
        </w:rPr>
        <w:t>Vehicles. Atmospheric Environment 39. 2005. 4513-4518.</w:t>
      </w:r>
    </w:p>
    <w:p w14:paraId="00000166" w14:textId="77777777" w:rsidR="00E73A2B" w:rsidRDefault="00E73A2B">
      <w:pPr>
        <w:spacing w:line="14" w:lineRule="auto"/>
        <w:rPr>
          <w:rFonts w:ascii="Arial" w:eastAsia="Arial" w:hAnsi="Arial"/>
          <w:sz w:val="24"/>
          <w:szCs w:val="24"/>
          <w:vertAlign w:val="superscript"/>
        </w:rPr>
      </w:pPr>
    </w:p>
    <w:p w14:paraId="00000167" w14:textId="77777777" w:rsidR="00E73A2B" w:rsidRDefault="00A25CF8">
      <w:pPr>
        <w:spacing w:line="235" w:lineRule="auto"/>
        <w:ind w:left="280" w:right="220"/>
        <w:rPr>
          <w:rFonts w:ascii="Times New Roman" w:eastAsia="Times New Roman" w:hAnsi="Times New Roman" w:cs="Times New Roman"/>
          <w:sz w:val="18"/>
          <w:szCs w:val="18"/>
        </w:rPr>
      </w:pPr>
      <w:r>
        <w:rPr>
          <w:rFonts w:ascii="Times New Roman" w:eastAsia="Times New Roman" w:hAnsi="Times New Roman" w:cs="Times New Roman"/>
          <w:sz w:val="18"/>
          <w:szCs w:val="18"/>
        </w:rPr>
        <w:t>Tang, Shida. Unregulated Emissions from a Heavy-Duty Diesel Engine with Various Fuels and Emission Control Systems. Environmental Science and Technology. 2007. 41:5037-5043.</w:t>
      </w:r>
    </w:p>
    <w:p w14:paraId="00000168" w14:textId="77777777" w:rsidR="00E73A2B" w:rsidRDefault="00E73A2B">
      <w:pPr>
        <w:spacing w:line="108" w:lineRule="auto"/>
        <w:rPr>
          <w:rFonts w:ascii="Arial" w:eastAsia="Arial" w:hAnsi="Arial"/>
          <w:sz w:val="24"/>
          <w:szCs w:val="24"/>
          <w:vertAlign w:val="superscript"/>
        </w:rPr>
      </w:pPr>
    </w:p>
    <w:p w14:paraId="00000169" w14:textId="77777777" w:rsidR="00E73A2B" w:rsidRDefault="00A25CF8">
      <w:pPr>
        <w:numPr>
          <w:ilvl w:val="0"/>
          <w:numId w:val="7"/>
        </w:numPr>
        <w:tabs>
          <w:tab w:val="left" w:pos="270"/>
        </w:tabs>
        <w:spacing w:line="234" w:lineRule="auto"/>
        <w:ind w:left="280" w:hanging="280"/>
        <w:rPr>
          <w:rFonts w:ascii="Arial" w:eastAsia="Arial" w:hAnsi="Arial"/>
          <w:sz w:val="24"/>
          <w:szCs w:val="24"/>
          <w:vertAlign w:val="superscript"/>
        </w:rPr>
      </w:pPr>
      <w:r>
        <w:rPr>
          <w:rFonts w:ascii="Times New Roman" w:eastAsia="Times New Roman" w:hAnsi="Times New Roman" w:cs="Times New Roman"/>
          <w:sz w:val="17"/>
          <w:szCs w:val="17"/>
        </w:rPr>
        <w:t>NYSERDA, “Renewable Fuels</w:t>
      </w:r>
      <w:r>
        <w:rPr>
          <w:rFonts w:ascii="Times New Roman" w:eastAsia="Times New Roman" w:hAnsi="Times New Roman" w:cs="Times New Roman"/>
          <w:sz w:val="17"/>
          <w:szCs w:val="17"/>
        </w:rPr>
        <w:t xml:space="preserve"> Roadmap and Sustainable Biomass Feedstock Supply for New York,” Accessed on November 23, 2021, https://www.nyserda.ny.gov/About/Publications/Research-and-Development-Technical-Reports/Biomass-Reports/Renewable-Fuels-Roadmap; Vieira da Silva, M.A., B.L.G. </w:t>
      </w:r>
      <w:r>
        <w:rPr>
          <w:rFonts w:ascii="Times New Roman" w:eastAsia="Times New Roman" w:hAnsi="Times New Roman" w:cs="Times New Roman"/>
          <w:sz w:val="17"/>
          <w:szCs w:val="17"/>
        </w:rPr>
        <w:t>Ferreira, L.G. da Costa Marques, A.L.S. Murta, and M.A.V. de Freitas. 2017. Comparative study of NO</w:t>
      </w:r>
      <w:r>
        <w:rPr>
          <w:rFonts w:ascii="Times New Roman" w:eastAsia="Times New Roman" w:hAnsi="Times New Roman" w:cs="Times New Roman"/>
          <w:sz w:val="11"/>
          <w:szCs w:val="11"/>
        </w:rPr>
        <w:t>X</w:t>
      </w:r>
      <w:r>
        <w:rPr>
          <w:rFonts w:ascii="Times New Roman" w:eastAsia="Times New Roman" w:hAnsi="Times New Roman" w:cs="Times New Roman"/>
          <w:sz w:val="17"/>
          <w:szCs w:val="17"/>
        </w:rPr>
        <w:t xml:space="preserve"> emissions of biodiesel-diesel blends from soybean, palm and waste frying oils using methyl and ethyl transesterification routes. Fuel, 194: 144-156.</w:t>
      </w:r>
    </w:p>
    <w:p w14:paraId="0000016A" w14:textId="77777777" w:rsidR="00E73A2B" w:rsidRDefault="00E73A2B">
      <w:pPr>
        <w:spacing w:line="56" w:lineRule="auto"/>
        <w:rPr>
          <w:rFonts w:ascii="Arial" w:eastAsia="Arial" w:hAnsi="Arial"/>
          <w:sz w:val="24"/>
          <w:szCs w:val="24"/>
          <w:vertAlign w:val="superscript"/>
        </w:rPr>
      </w:pPr>
    </w:p>
    <w:p w14:paraId="0000016B" w14:textId="77777777" w:rsidR="00E73A2B" w:rsidRDefault="00A25CF8">
      <w:pPr>
        <w:numPr>
          <w:ilvl w:val="0"/>
          <w:numId w:val="7"/>
        </w:numPr>
        <w:tabs>
          <w:tab w:val="left" w:pos="280"/>
        </w:tabs>
        <w:ind w:left="280" w:hanging="280"/>
        <w:rPr>
          <w:rFonts w:ascii="Arial" w:eastAsia="Arial" w:hAnsi="Arial"/>
          <w:sz w:val="25"/>
          <w:szCs w:val="25"/>
          <w:vertAlign w:val="superscript"/>
        </w:rPr>
      </w:pPr>
      <w:r>
        <w:rPr>
          <w:rFonts w:ascii="Times New Roman" w:eastAsia="Times New Roman" w:hAnsi="Times New Roman" w:cs="Times New Roman"/>
          <w:sz w:val="17"/>
          <w:szCs w:val="17"/>
        </w:rPr>
        <w:t>DEC, “Heavy Duty Vehicles,” DEC. Accessed at https://www.dec.ny.gov/chemical/8585.html.</w:t>
      </w:r>
    </w:p>
    <w:p w14:paraId="0000016C" w14:textId="77777777" w:rsidR="00E73A2B" w:rsidRDefault="00E73A2B">
      <w:pPr>
        <w:spacing w:line="200" w:lineRule="auto"/>
        <w:rPr>
          <w:rFonts w:ascii="Times New Roman" w:eastAsia="Times New Roman" w:hAnsi="Times New Roman" w:cs="Times New Roman"/>
        </w:rPr>
      </w:pPr>
    </w:p>
    <w:p w14:paraId="0000016D" w14:textId="77777777" w:rsidR="00E73A2B" w:rsidRDefault="00E73A2B">
      <w:pPr>
        <w:spacing w:line="253" w:lineRule="auto"/>
        <w:rPr>
          <w:rFonts w:ascii="Times New Roman" w:eastAsia="Times New Roman" w:hAnsi="Times New Roman" w:cs="Times New Roman"/>
        </w:rPr>
      </w:pPr>
    </w:p>
    <w:tbl>
      <w:tblPr>
        <w:tblStyle w:val="afb"/>
        <w:tblW w:w="9360" w:type="dxa"/>
        <w:tblLayout w:type="fixed"/>
        <w:tblLook w:val="0000" w:firstRow="0" w:lastRow="0" w:firstColumn="0" w:lastColumn="0" w:noHBand="0" w:noVBand="0"/>
      </w:tblPr>
      <w:tblGrid>
        <w:gridCol w:w="5460"/>
        <w:gridCol w:w="3900"/>
      </w:tblGrid>
      <w:tr w:rsidR="00E73A2B" w14:paraId="787FA2D7" w14:textId="77777777">
        <w:trPr>
          <w:trHeight w:val="184"/>
        </w:trPr>
        <w:tc>
          <w:tcPr>
            <w:tcW w:w="5460" w:type="dxa"/>
            <w:shd w:val="clear" w:color="auto" w:fill="auto"/>
            <w:vAlign w:val="bottom"/>
          </w:tcPr>
          <w:p w14:paraId="0000016E" w14:textId="77777777" w:rsidR="00E73A2B" w:rsidRDefault="00A25CF8">
            <w:pPr>
              <w:rPr>
                <w:rFonts w:ascii="Arial" w:eastAsia="Arial" w:hAnsi="Arial"/>
                <w:sz w:val="16"/>
                <w:szCs w:val="16"/>
              </w:rPr>
            </w:pPr>
            <w:hyperlink w:anchor="bookmark=id.44sinio">
              <w:r>
                <w:rPr>
                  <w:rFonts w:ascii="Arial" w:eastAsia="Arial" w:hAnsi="Arial"/>
                  <w:sz w:val="16"/>
                  <w:szCs w:val="16"/>
                </w:rPr>
                <w:t>Chapter 8. Public Health</w:t>
              </w:r>
            </w:hyperlink>
          </w:p>
        </w:tc>
        <w:tc>
          <w:tcPr>
            <w:tcW w:w="3900" w:type="dxa"/>
            <w:shd w:val="clear" w:color="auto" w:fill="auto"/>
            <w:vAlign w:val="bottom"/>
          </w:tcPr>
          <w:p w14:paraId="0000016F" w14:textId="77777777" w:rsidR="00E73A2B" w:rsidRDefault="00A25CF8">
            <w:pPr>
              <w:jc w:val="right"/>
              <w:rPr>
                <w:rFonts w:ascii="Arial" w:eastAsia="Arial" w:hAnsi="Arial"/>
                <w:sz w:val="16"/>
                <w:szCs w:val="16"/>
              </w:rPr>
            </w:pPr>
            <w:r>
              <w:rPr>
                <w:rFonts w:ascii="Arial" w:eastAsia="Arial" w:hAnsi="Arial"/>
                <w:sz w:val="16"/>
                <w:szCs w:val="16"/>
              </w:rPr>
              <w:t>63</w:t>
            </w:r>
          </w:p>
        </w:tc>
      </w:tr>
    </w:tbl>
    <w:p w14:paraId="00000170" w14:textId="77777777" w:rsidR="00E73A2B" w:rsidRDefault="00E73A2B">
      <w:pPr>
        <w:rPr>
          <w:rFonts w:ascii="Arial" w:eastAsia="Arial" w:hAnsi="Arial"/>
          <w:sz w:val="16"/>
          <w:szCs w:val="16"/>
        </w:rPr>
        <w:sectPr w:rsidR="00E73A2B">
          <w:pgSz w:w="12240" w:h="15840"/>
          <w:pgMar w:top="1440" w:right="1440" w:bottom="395" w:left="1440" w:header="0" w:footer="0" w:gutter="0"/>
          <w:cols w:space="720"/>
        </w:sectPr>
      </w:pPr>
    </w:p>
    <w:p w14:paraId="00000171" w14:textId="77777777" w:rsidR="00E73A2B" w:rsidRDefault="00E73A2B">
      <w:pPr>
        <w:spacing w:line="14" w:lineRule="auto"/>
        <w:rPr>
          <w:rFonts w:ascii="Times New Roman" w:eastAsia="Times New Roman" w:hAnsi="Times New Roman" w:cs="Times New Roman"/>
        </w:rPr>
      </w:pPr>
      <w:bookmarkStart w:id="15" w:name="bookmark=id.17dp8vu" w:colFirst="0" w:colLast="0"/>
      <w:bookmarkEnd w:id="15"/>
    </w:p>
    <w:p w14:paraId="00000172" w14:textId="77777777" w:rsidR="00E73A2B" w:rsidRDefault="00A25CF8">
      <w:pPr>
        <w:spacing w:line="349" w:lineRule="auto"/>
        <w:ind w:right="200"/>
        <w:rPr>
          <w:rFonts w:ascii="Times New Roman" w:eastAsia="Times New Roman" w:hAnsi="Times New Roman" w:cs="Times New Roman"/>
          <w:sz w:val="22"/>
          <w:szCs w:val="22"/>
        </w:rPr>
      </w:pPr>
      <w:r>
        <w:rPr>
          <w:rFonts w:ascii="Times New Roman" w:eastAsia="Times New Roman" w:hAnsi="Times New Roman" w:cs="Times New Roman"/>
          <w:sz w:val="22"/>
          <w:szCs w:val="22"/>
        </w:rPr>
        <w:t>These mechanisms can be supported through integrated local and regional transportation</w:t>
      </w:r>
      <w:r>
        <w:rPr>
          <w:rFonts w:ascii="Times New Roman" w:eastAsia="Times New Roman" w:hAnsi="Times New Roman" w:cs="Times New Roman"/>
          <w:sz w:val="22"/>
          <w:szCs w:val="22"/>
        </w:rPr>
        <w:t xml:space="preserve"> planning using Complete Streets principles.</w:t>
      </w:r>
    </w:p>
    <w:p w14:paraId="00000173" w14:textId="77777777" w:rsidR="00E73A2B" w:rsidRDefault="00E73A2B">
      <w:pPr>
        <w:spacing w:line="364" w:lineRule="auto"/>
        <w:rPr>
          <w:rFonts w:ascii="Times New Roman" w:eastAsia="Times New Roman" w:hAnsi="Times New Roman" w:cs="Times New Roman"/>
        </w:rPr>
      </w:pPr>
    </w:p>
    <w:p w14:paraId="00000174" w14:textId="77777777" w:rsidR="00E73A2B" w:rsidRDefault="00A25CF8">
      <w:pPr>
        <w:spacing w:line="359" w:lineRule="auto"/>
        <w:ind w:right="60"/>
        <w:rPr>
          <w:rFonts w:ascii="Times New Roman" w:eastAsia="Times New Roman" w:hAnsi="Times New Roman" w:cs="Times New Roman"/>
          <w:sz w:val="22"/>
          <w:szCs w:val="22"/>
        </w:rPr>
      </w:pPr>
      <w:r>
        <w:rPr>
          <w:rFonts w:ascii="Times New Roman" w:eastAsia="Times New Roman" w:hAnsi="Times New Roman" w:cs="Times New Roman"/>
          <w:sz w:val="22"/>
          <w:szCs w:val="22"/>
        </w:rPr>
        <w:t>Reductions in fuel use and emissions can also be achieved through congestion mitigation and smart growth planning that facilitates the establishment of more walkable communities, with sidewalks, bike lanes, and</w:t>
      </w:r>
      <w:r>
        <w:rPr>
          <w:rFonts w:ascii="Times New Roman" w:eastAsia="Times New Roman" w:hAnsi="Times New Roman" w:cs="Times New Roman"/>
          <w:sz w:val="22"/>
          <w:szCs w:val="22"/>
        </w:rPr>
        <w:t xml:space="preserve"> bike paths. Policies and technologies to reduce congestion, such as congestion pricing and traffic signal synchronization, can alleviate major bottlenecks and improve local air pollution, especially in communities located near busy roads. Bike sharing pro</w:t>
      </w:r>
      <w:r>
        <w:rPr>
          <w:rFonts w:ascii="Times New Roman" w:eastAsia="Times New Roman" w:hAnsi="Times New Roman" w:cs="Times New Roman"/>
          <w:sz w:val="22"/>
          <w:szCs w:val="22"/>
        </w:rPr>
        <w:t>grams have become a popular feature in cities across the nation, providing additional opportunities for physical activity. Active transport for shorter journeys has both the benefits of reduced emissions and of exercise, leading to reduced risk for obesity</w:t>
      </w:r>
      <w:r>
        <w:rPr>
          <w:rFonts w:ascii="Times New Roman" w:eastAsia="Times New Roman" w:hAnsi="Times New Roman" w:cs="Times New Roman"/>
          <w:sz w:val="22"/>
          <w:szCs w:val="22"/>
        </w:rPr>
        <w:t xml:space="preserve">, cardiovascular disease, and other health impacts. Nevertheless, in spite of the emission reductions associated with bicycling and walking for transportation and the health benefits, exercising in polluted air can also have health impacts, especially for </w:t>
      </w:r>
      <w:r>
        <w:rPr>
          <w:rFonts w:ascii="Times New Roman" w:eastAsia="Times New Roman" w:hAnsi="Times New Roman" w:cs="Times New Roman"/>
          <w:sz w:val="22"/>
          <w:szCs w:val="22"/>
        </w:rPr>
        <w:t>vulnerable populations.</w:t>
      </w:r>
      <w:r>
        <w:rPr>
          <w:rFonts w:ascii="Arial" w:eastAsia="Arial" w:hAnsi="Arial"/>
          <w:sz w:val="12"/>
          <w:szCs w:val="12"/>
        </w:rPr>
        <w:t>118</w:t>
      </w:r>
      <w:r>
        <w:rPr>
          <w:rFonts w:ascii="Times New Roman" w:eastAsia="Times New Roman" w:hAnsi="Times New Roman" w:cs="Times New Roman"/>
          <w:sz w:val="22"/>
          <w:szCs w:val="22"/>
        </w:rPr>
        <w:t xml:space="preserve"> However, among healthy adults, moderate to high-intensity exercise may neutralize any short-term negative effects of air pollution</w:t>
      </w:r>
      <w:r>
        <w:rPr>
          <w:rFonts w:ascii="Times New Roman" w:eastAsia="Times New Roman" w:hAnsi="Times New Roman" w:cs="Times New Roman"/>
          <w:i/>
          <w:sz w:val="22"/>
          <w:szCs w:val="22"/>
        </w:rPr>
        <w:t>.</w:t>
      </w:r>
      <w:r>
        <w:rPr>
          <w:rFonts w:ascii="Times New Roman" w:eastAsia="Times New Roman" w:hAnsi="Times New Roman" w:cs="Times New Roman"/>
          <w:sz w:val="22"/>
          <w:szCs w:val="22"/>
        </w:rPr>
        <w:t xml:space="preserve"> While the benefits of increased physical activity have been found to outweigh the risks of exerci</w:t>
      </w:r>
      <w:r>
        <w:rPr>
          <w:rFonts w:ascii="Times New Roman" w:eastAsia="Times New Roman" w:hAnsi="Times New Roman" w:cs="Times New Roman"/>
          <w:sz w:val="22"/>
          <w:szCs w:val="22"/>
        </w:rPr>
        <w:t>se in polluted air,</w:t>
      </w:r>
      <w:r>
        <w:rPr>
          <w:rFonts w:ascii="Arial" w:eastAsia="Arial" w:hAnsi="Arial"/>
          <w:sz w:val="12"/>
          <w:szCs w:val="12"/>
        </w:rPr>
        <w:t>119</w:t>
      </w:r>
      <w:r>
        <w:rPr>
          <w:rFonts w:ascii="Times New Roman" w:eastAsia="Times New Roman" w:hAnsi="Times New Roman" w:cs="Times New Roman"/>
          <w:sz w:val="22"/>
          <w:szCs w:val="22"/>
        </w:rPr>
        <w:t xml:space="preserve"> air quality in areas of heavy traffic should still be considered in the choices made for siting of bicycle lanes and paths.</w:t>
      </w:r>
      <w:r>
        <w:rPr>
          <w:rFonts w:ascii="Arial" w:eastAsia="Arial" w:hAnsi="Arial"/>
          <w:sz w:val="12"/>
          <w:szCs w:val="12"/>
        </w:rPr>
        <w:t>120</w:t>
      </w:r>
      <w:r>
        <w:rPr>
          <w:rFonts w:ascii="Times New Roman" w:eastAsia="Times New Roman" w:hAnsi="Times New Roman" w:cs="Times New Roman"/>
          <w:sz w:val="22"/>
          <w:szCs w:val="22"/>
        </w:rPr>
        <w:t xml:space="preserve"> Further, traffic accidents have been found to increase in number and severity with increased active transp</w:t>
      </w:r>
      <w:r>
        <w:rPr>
          <w:rFonts w:ascii="Times New Roman" w:eastAsia="Times New Roman" w:hAnsi="Times New Roman" w:cs="Times New Roman"/>
          <w:sz w:val="22"/>
          <w:szCs w:val="22"/>
        </w:rPr>
        <w:t>ort. Therefore, as active transport options continue to be made available, efforts to minimize accident potential become increasingly important.</w:t>
      </w:r>
    </w:p>
    <w:p w14:paraId="00000175" w14:textId="77777777" w:rsidR="00E73A2B" w:rsidRDefault="00E73A2B">
      <w:pPr>
        <w:spacing w:line="357" w:lineRule="auto"/>
        <w:rPr>
          <w:rFonts w:ascii="Times New Roman" w:eastAsia="Times New Roman" w:hAnsi="Times New Roman" w:cs="Times New Roman"/>
        </w:rPr>
      </w:pPr>
    </w:p>
    <w:p w14:paraId="00000176" w14:textId="77777777" w:rsidR="00E73A2B" w:rsidRDefault="00A25CF8">
      <w:pPr>
        <w:spacing w:line="355" w:lineRule="auto"/>
        <w:ind w:right="6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Vehicle electrification can also contribute to reduced traffic noise, especially at slower and medium speeds where tire and wind noises are low. Particularly in cities, with high volumes of traffic, noise reduction is important health co-benefit for the de</w:t>
      </w:r>
      <w:r>
        <w:rPr>
          <w:rFonts w:ascii="Times New Roman" w:eastAsia="Times New Roman" w:hAnsi="Times New Roman" w:cs="Times New Roman"/>
          <w:sz w:val="22"/>
          <w:szCs w:val="22"/>
        </w:rPr>
        <w:t>ployment of EVs.</w:t>
      </w:r>
    </w:p>
    <w:p w14:paraId="00000177" w14:textId="77777777" w:rsidR="00E73A2B" w:rsidRDefault="00E73A2B">
      <w:pPr>
        <w:spacing w:line="344" w:lineRule="auto"/>
        <w:rPr>
          <w:rFonts w:ascii="Times New Roman" w:eastAsia="Times New Roman" w:hAnsi="Times New Roman" w:cs="Times New Roman"/>
        </w:rPr>
      </w:pPr>
    </w:p>
    <w:p w14:paraId="00000178" w14:textId="77777777" w:rsidR="00E73A2B" w:rsidRDefault="00A25CF8">
      <w:pPr>
        <w:rPr>
          <w:rFonts w:ascii="Arial" w:eastAsia="Arial" w:hAnsi="Arial"/>
          <w:b/>
          <w:i/>
          <w:sz w:val="24"/>
          <w:szCs w:val="24"/>
        </w:rPr>
      </w:pPr>
      <w:r>
        <w:rPr>
          <w:rFonts w:ascii="Arial" w:eastAsia="Arial" w:hAnsi="Arial"/>
          <w:b/>
          <w:i/>
          <w:sz w:val="24"/>
          <w:szCs w:val="24"/>
        </w:rPr>
        <w:t>Buildings and the Built Environment</w:t>
      </w:r>
    </w:p>
    <w:p w14:paraId="00000179" w14:textId="77777777" w:rsidR="00E73A2B" w:rsidRDefault="00E73A2B">
      <w:pPr>
        <w:spacing w:line="130" w:lineRule="auto"/>
        <w:rPr>
          <w:rFonts w:ascii="Times New Roman" w:eastAsia="Times New Roman" w:hAnsi="Times New Roman" w:cs="Times New Roman"/>
        </w:rPr>
      </w:pPr>
    </w:p>
    <w:p w14:paraId="0000017A" w14:textId="77777777" w:rsidR="00E73A2B" w:rsidRDefault="00A25CF8">
      <w:pPr>
        <w:spacing w:line="355" w:lineRule="auto"/>
        <w:ind w:right="180"/>
        <w:rPr>
          <w:rFonts w:ascii="Times New Roman" w:eastAsia="Times New Roman" w:hAnsi="Times New Roman" w:cs="Times New Roman"/>
          <w:sz w:val="22"/>
          <w:szCs w:val="22"/>
        </w:rPr>
      </w:pPr>
      <w:r>
        <w:rPr>
          <w:rFonts w:ascii="Times New Roman" w:eastAsia="Times New Roman" w:hAnsi="Times New Roman" w:cs="Times New Roman"/>
          <w:sz w:val="22"/>
          <w:szCs w:val="22"/>
        </w:rPr>
        <w:t>The building industry presents a unique and largely untapped resource for integrating climate action and public health. Workforce education, training, job placement, and job development equips New York’s current and future workforce to design, install, ins</w:t>
      </w:r>
      <w:r>
        <w:rPr>
          <w:rFonts w:ascii="Times New Roman" w:eastAsia="Times New Roman" w:hAnsi="Times New Roman" w:cs="Times New Roman"/>
          <w:sz w:val="22"/>
          <w:szCs w:val="22"/>
        </w:rPr>
        <w:t>pect, maintain, and operate healthy, comfortable, low-</w:t>
      </w:r>
    </w:p>
    <w:p w14:paraId="0000017B" w14:textId="77777777" w:rsidR="00E73A2B" w:rsidRDefault="00A25CF8">
      <w:pPr>
        <w:spacing w:line="20" w:lineRule="auto"/>
        <w:rPr>
          <w:rFonts w:ascii="Times New Roman" w:eastAsia="Times New Roman" w:hAnsi="Times New Roman" w:cs="Times New Roman"/>
        </w:rPr>
      </w:pPr>
      <w:r>
        <w:rPr>
          <w:noProof/>
        </w:rPr>
        <mc:AlternateContent>
          <mc:Choice Requires="wpg">
            <w:drawing>
              <wp:anchor distT="0" distB="0" distL="0" distR="0" simplePos="0" relativeHeight="251669504" behindDoc="1" locked="0" layoutInCell="1" hidden="0" allowOverlap="1">
                <wp:simplePos x="0" y="0"/>
                <wp:positionH relativeFrom="column">
                  <wp:posOffset>0</wp:posOffset>
                </wp:positionH>
                <wp:positionV relativeFrom="paragraph">
                  <wp:posOffset>381000</wp:posOffset>
                </wp:positionV>
                <wp:extent cx="1838325" cy="22225"/>
                <wp:effectExtent l="0" t="0" r="0" b="0"/>
                <wp:wrapNone/>
                <wp:docPr id="36" name=""/>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381000</wp:posOffset>
                </wp:positionV>
                <wp:extent cx="1838325" cy="22225"/>
                <wp:effectExtent b="0" l="0" r="0" t="0"/>
                <wp:wrapNone/>
                <wp:docPr id="36" name="image4.png"/>
                <a:graphic>
                  <a:graphicData uri="http://schemas.openxmlformats.org/drawingml/2006/picture">
                    <pic:pic>
                      <pic:nvPicPr>
                        <pic:cNvPr id="0" name="image4.png"/>
                        <pic:cNvPicPr preferRelativeResize="0"/>
                      </pic:nvPicPr>
                      <pic:blipFill>
                        <a:blip r:embed="rId26"/>
                        <a:srcRect/>
                        <a:stretch>
                          <a:fillRect/>
                        </a:stretch>
                      </pic:blipFill>
                      <pic:spPr>
                        <a:xfrm>
                          <a:off x="0" y="0"/>
                          <a:ext cx="1838325" cy="22225"/>
                        </a:xfrm>
                        <a:prstGeom prst="rect"/>
                        <a:ln/>
                      </pic:spPr>
                    </pic:pic>
                  </a:graphicData>
                </a:graphic>
              </wp:anchor>
            </w:drawing>
          </mc:Fallback>
        </mc:AlternateContent>
      </w:r>
    </w:p>
    <w:p w14:paraId="0000017C" w14:textId="77777777" w:rsidR="00E73A2B" w:rsidRDefault="00E73A2B">
      <w:pPr>
        <w:spacing w:line="200" w:lineRule="auto"/>
        <w:rPr>
          <w:rFonts w:ascii="Times New Roman" w:eastAsia="Times New Roman" w:hAnsi="Times New Roman" w:cs="Times New Roman"/>
        </w:rPr>
      </w:pPr>
    </w:p>
    <w:p w14:paraId="0000017D" w14:textId="77777777" w:rsidR="00E73A2B" w:rsidRDefault="00E73A2B">
      <w:pPr>
        <w:spacing w:line="200" w:lineRule="auto"/>
        <w:rPr>
          <w:rFonts w:ascii="Times New Roman" w:eastAsia="Times New Roman" w:hAnsi="Times New Roman" w:cs="Times New Roman"/>
        </w:rPr>
      </w:pPr>
    </w:p>
    <w:p w14:paraId="0000017E" w14:textId="77777777" w:rsidR="00E73A2B" w:rsidRDefault="00E73A2B">
      <w:pPr>
        <w:spacing w:line="200" w:lineRule="auto"/>
        <w:rPr>
          <w:rFonts w:ascii="Times New Roman" w:eastAsia="Times New Roman" w:hAnsi="Times New Roman" w:cs="Times New Roman"/>
        </w:rPr>
      </w:pPr>
    </w:p>
    <w:p w14:paraId="0000017F" w14:textId="77777777" w:rsidR="00E73A2B" w:rsidRDefault="00E73A2B">
      <w:pPr>
        <w:spacing w:line="301" w:lineRule="auto"/>
        <w:rPr>
          <w:rFonts w:ascii="Times New Roman" w:eastAsia="Times New Roman" w:hAnsi="Times New Roman" w:cs="Times New Roman"/>
        </w:rPr>
      </w:pPr>
    </w:p>
    <w:p w14:paraId="00000180" w14:textId="77777777" w:rsidR="00E73A2B" w:rsidRDefault="00A25CF8">
      <w:pPr>
        <w:numPr>
          <w:ilvl w:val="0"/>
          <w:numId w:val="15"/>
        </w:numPr>
        <w:tabs>
          <w:tab w:val="left" w:pos="270"/>
        </w:tabs>
        <w:spacing w:line="208" w:lineRule="auto"/>
        <w:ind w:left="280" w:right="300" w:hanging="280"/>
        <w:rPr>
          <w:rFonts w:ascii="Arial" w:eastAsia="Arial" w:hAnsi="Arial"/>
          <w:sz w:val="24"/>
          <w:szCs w:val="24"/>
          <w:vertAlign w:val="superscript"/>
        </w:rPr>
      </w:pPr>
      <w:r>
        <w:rPr>
          <w:rFonts w:ascii="Times New Roman" w:eastAsia="Times New Roman" w:hAnsi="Times New Roman" w:cs="Times New Roman"/>
          <w:sz w:val="17"/>
          <w:szCs w:val="17"/>
        </w:rPr>
        <w:t>Mittleman, Murray A. Air Pollution, Exercise and Cardiovascular Risk. New England Journal of Medicine. Sept 13. 2007. 357(11):1147- 9.</w:t>
      </w:r>
    </w:p>
    <w:p w14:paraId="00000181" w14:textId="77777777" w:rsidR="00E73A2B" w:rsidRDefault="00E73A2B">
      <w:pPr>
        <w:spacing w:line="107" w:lineRule="auto"/>
        <w:rPr>
          <w:rFonts w:ascii="Arial" w:eastAsia="Arial" w:hAnsi="Arial"/>
          <w:sz w:val="24"/>
          <w:szCs w:val="24"/>
          <w:vertAlign w:val="superscript"/>
        </w:rPr>
      </w:pPr>
    </w:p>
    <w:p w14:paraId="00000182" w14:textId="77777777" w:rsidR="00E73A2B" w:rsidRDefault="00A25CF8">
      <w:pPr>
        <w:numPr>
          <w:ilvl w:val="0"/>
          <w:numId w:val="15"/>
        </w:numPr>
        <w:tabs>
          <w:tab w:val="left" w:pos="270"/>
        </w:tabs>
        <w:spacing w:line="208" w:lineRule="auto"/>
        <w:ind w:left="280" w:right="220" w:hanging="280"/>
        <w:rPr>
          <w:rFonts w:ascii="Arial" w:eastAsia="Arial" w:hAnsi="Arial"/>
          <w:sz w:val="24"/>
          <w:szCs w:val="24"/>
          <w:vertAlign w:val="superscript"/>
        </w:rPr>
      </w:pPr>
      <w:r>
        <w:rPr>
          <w:rFonts w:ascii="Times New Roman" w:eastAsia="Times New Roman" w:hAnsi="Times New Roman" w:cs="Times New Roman"/>
          <w:sz w:val="17"/>
          <w:szCs w:val="17"/>
        </w:rPr>
        <w:t>Tainio, M., de Nazelle, A., Gӧtschi, T., Kahlmeier, S., Roj</w:t>
      </w:r>
      <w:r>
        <w:rPr>
          <w:rFonts w:ascii="Times New Roman" w:eastAsia="Times New Roman" w:hAnsi="Times New Roman" w:cs="Times New Roman"/>
          <w:sz w:val="17"/>
          <w:szCs w:val="17"/>
        </w:rPr>
        <w:t>as-Rueda, D., Nieuwenhuijsen, M., Hérick de Sá, T., Kelly, P., Woodcock, J. 2016. Can air pollution negate the health benefits of cycling and walking? Preventive Medicine; 87:233-236.</w:t>
      </w:r>
    </w:p>
    <w:p w14:paraId="00000183" w14:textId="77777777" w:rsidR="00E73A2B" w:rsidRDefault="00E73A2B">
      <w:pPr>
        <w:spacing w:line="107" w:lineRule="auto"/>
        <w:rPr>
          <w:rFonts w:ascii="Arial" w:eastAsia="Arial" w:hAnsi="Arial"/>
          <w:sz w:val="24"/>
          <w:szCs w:val="24"/>
          <w:vertAlign w:val="superscript"/>
        </w:rPr>
      </w:pPr>
    </w:p>
    <w:p w14:paraId="00000184" w14:textId="77777777" w:rsidR="00E73A2B" w:rsidRDefault="00A25CF8">
      <w:pPr>
        <w:numPr>
          <w:ilvl w:val="0"/>
          <w:numId w:val="15"/>
        </w:numPr>
        <w:tabs>
          <w:tab w:val="left" w:pos="270"/>
        </w:tabs>
        <w:spacing w:line="208" w:lineRule="auto"/>
        <w:ind w:left="280" w:right="140" w:hanging="280"/>
        <w:rPr>
          <w:rFonts w:ascii="Arial" w:eastAsia="Arial" w:hAnsi="Arial"/>
          <w:sz w:val="24"/>
          <w:szCs w:val="24"/>
          <w:vertAlign w:val="superscript"/>
        </w:rPr>
      </w:pPr>
      <w:r>
        <w:rPr>
          <w:rFonts w:ascii="Times New Roman" w:eastAsia="Times New Roman" w:hAnsi="Times New Roman" w:cs="Times New Roman"/>
          <w:sz w:val="17"/>
          <w:szCs w:val="17"/>
        </w:rPr>
        <w:t>Hertel, Ole. A Proper Choice of Route Significantly Reduces Air Polluti</w:t>
      </w:r>
      <w:r>
        <w:rPr>
          <w:rFonts w:ascii="Times New Roman" w:eastAsia="Times New Roman" w:hAnsi="Times New Roman" w:cs="Times New Roman"/>
          <w:sz w:val="17"/>
          <w:szCs w:val="17"/>
        </w:rPr>
        <w:t>on Exposure – A Study on Bicycle and Bus Trips in Urban Streets. Science of the Total Environment. 2008. 389(1):58-70.</w:t>
      </w:r>
    </w:p>
    <w:p w14:paraId="00000185" w14:textId="77777777" w:rsidR="00E73A2B" w:rsidRDefault="00E73A2B">
      <w:pPr>
        <w:spacing w:line="376" w:lineRule="auto"/>
        <w:rPr>
          <w:rFonts w:ascii="Times New Roman" w:eastAsia="Times New Roman" w:hAnsi="Times New Roman" w:cs="Times New Roman"/>
        </w:rPr>
      </w:pPr>
    </w:p>
    <w:tbl>
      <w:tblPr>
        <w:tblStyle w:val="afc"/>
        <w:tblW w:w="9360" w:type="dxa"/>
        <w:tblLayout w:type="fixed"/>
        <w:tblLook w:val="0000" w:firstRow="0" w:lastRow="0" w:firstColumn="0" w:lastColumn="0" w:noHBand="0" w:noVBand="0"/>
      </w:tblPr>
      <w:tblGrid>
        <w:gridCol w:w="5460"/>
        <w:gridCol w:w="3900"/>
      </w:tblGrid>
      <w:tr w:rsidR="00E73A2B" w14:paraId="53970126" w14:textId="77777777">
        <w:trPr>
          <w:trHeight w:val="184"/>
        </w:trPr>
        <w:tc>
          <w:tcPr>
            <w:tcW w:w="5460" w:type="dxa"/>
            <w:shd w:val="clear" w:color="auto" w:fill="auto"/>
            <w:vAlign w:val="bottom"/>
          </w:tcPr>
          <w:p w14:paraId="00000186" w14:textId="77777777" w:rsidR="00E73A2B" w:rsidRDefault="00A25CF8">
            <w:pPr>
              <w:rPr>
                <w:rFonts w:ascii="Arial" w:eastAsia="Arial" w:hAnsi="Arial"/>
                <w:sz w:val="16"/>
                <w:szCs w:val="16"/>
              </w:rPr>
            </w:pPr>
            <w:hyperlink w:anchor="bookmark=id.44sinio">
              <w:r>
                <w:rPr>
                  <w:rFonts w:ascii="Arial" w:eastAsia="Arial" w:hAnsi="Arial"/>
                  <w:sz w:val="16"/>
                  <w:szCs w:val="16"/>
                </w:rPr>
                <w:t>Chapter 8. Public Health</w:t>
              </w:r>
            </w:hyperlink>
          </w:p>
        </w:tc>
        <w:tc>
          <w:tcPr>
            <w:tcW w:w="3900" w:type="dxa"/>
            <w:shd w:val="clear" w:color="auto" w:fill="auto"/>
            <w:vAlign w:val="bottom"/>
          </w:tcPr>
          <w:p w14:paraId="00000187" w14:textId="77777777" w:rsidR="00E73A2B" w:rsidRDefault="00A25CF8">
            <w:pPr>
              <w:jc w:val="right"/>
              <w:rPr>
                <w:rFonts w:ascii="Arial" w:eastAsia="Arial" w:hAnsi="Arial"/>
                <w:sz w:val="16"/>
                <w:szCs w:val="16"/>
              </w:rPr>
            </w:pPr>
            <w:r>
              <w:rPr>
                <w:rFonts w:ascii="Arial" w:eastAsia="Arial" w:hAnsi="Arial"/>
                <w:sz w:val="16"/>
                <w:szCs w:val="16"/>
              </w:rPr>
              <w:t>64</w:t>
            </w:r>
          </w:p>
        </w:tc>
      </w:tr>
    </w:tbl>
    <w:p w14:paraId="00000188" w14:textId="77777777" w:rsidR="00E73A2B" w:rsidRDefault="00E73A2B">
      <w:pPr>
        <w:rPr>
          <w:rFonts w:ascii="Arial" w:eastAsia="Arial" w:hAnsi="Arial"/>
          <w:sz w:val="16"/>
          <w:szCs w:val="16"/>
        </w:rPr>
        <w:sectPr w:rsidR="00E73A2B">
          <w:pgSz w:w="12240" w:h="15840"/>
          <w:pgMar w:top="1440" w:right="1440" w:bottom="395" w:left="1440" w:header="0" w:footer="0" w:gutter="0"/>
          <w:cols w:space="720"/>
        </w:sectPr>
      </w:pPr>
    </w:p>
    <w:p w14:paraId="00000189" w14:textId="77777777" w:rsidR="00E73A2B" w:rsidRDefault="00E73A2B">
      <w:pPr>
        <w:spacing w:line="14" w:lineRule="auto"/>
        <w:rPr>
          <w:rFonts w:ascii="Times New Roman" w:eastAsia="Times New Roman" w:hAnsi="Times New Roman" w:cs="Times New Roman"/>
        </w:rPr>
      </w:pPr>
      <w:bookmarkStart w:id="16" w:name="bookmark=id.3rdcrjn" w:colFirst="0" w:colLast="0"/>
      <w:bookmarkEnd w:id="16"/>
    </w:p>
    <w:p w14:paraId="0000018A" w14:textId="77777777" w:rsidR="00E73A2B" w:rsidRDefault="00A25CF8">
      <w:pPr>
        <w:spacing w:line="357" w:lineRule="auto"/>
        <w:ind w:right="4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carbon buildings while increasing clean energy job placement for Disadvantaged Communities and advancing industry diversity. This could be accomplished by promoting broad public awareness and education to create strategic partnerships with trusted communit</w:t>
      </w:r>
      <w:r>
        <w:rPr>
          <w:rFonts w:ascii="Times New Roman" w:eastAsia="Times New Roman" w:hAnsi="Times New Roman" w:cs="Times New Roman"/>
          <w:sz w:val="22"/>
          <w:szCs w:val="22"/>
        </w:rPr>
        <w:t>y leaders, and by scaling-up targeted outreach and decision-making to increase market demand and accelerate the transition to low-carbon, energy-efficient, all-electric buildings.</w:t>
      </w:r>
    </w:p>
    <w:p w14:paraId="0000018B" w14:textId="77777777" w:rsidR="00E73A2B" w:rsidRDefault="00E73A2B">
      <w:pPr>
        <w:spacing w:line="366" w:lineRule="auto"/>
        <w:rPr>
          <w:rFonts w:ascii="Times New Roman" w:eastAsia="Times New Roman" w:hAnsi="Times New Roman" w:cs="Times New Roman"/>
        </w:rPr>
      </w:pPr>
    </w:p>
    <w:p w14:paraId="0000018C" w14:textId="77777777" w:rsidR="00E73A2B" w:rsidRDefault="00A25CF8">
      <w:pPr>
        <w:rPr>
          <w:rFonts w:ascii="Arial" w:eastAsia="Arial" w:hAnsi="Arial"/>
          <w:b/>
          <w:sz w:val="22"/>
          <w:szCs w:val="22"/>
        </w:rPr>
      </w:pPr>
      <w:r>
        <w:rPr>
          <w:rFonts w:ascii="Arial" w:eastAsia="Arial" w:hAnsi="Arial"/>
          <w:b/>
          <w:sz w:val="22"/>
          <w:szCs w:val="22"/>
        </w:rPr>
        <w:t>Outdoor Built Environment</w:t>
      </w:r>
    </w:p>
    <w:p w14:paraId="0000018D" w14:textId="77777777" w:rsidR="00E73A2B" w:rsidRDefault="00E73A2B">
      <w:pPr>
        <w:spacing w:line="258" w:lineRule="auto"/>
        <w:rPr>
          <w:rFonts w:ascii="Times New Roman" w:eastAsia="Times New Roman" w:hAnsi="Times New Roman" w:cs="Times New Roman"/>
        </w:rPr>
      </w:pPr>
    </w:p>
    <w:p w14:paraId="0000018E" w14:textId="77777777" w:rsidR="00E73A2B" w:rsidRDefault="00A25CF8">
      <w:pPr>
        <w:spacing w:line="352" w:lineRule="auto"/>
        <w:ind w:right="20"/>
        <w:rPr>
          <w:rFonts w:ascii="Times New Roman" w:eastAsia="Times New Roman" w:hAnsi="Times New Roman" w:cs="Times New Roman"/>
          <w:sz w:val="22"/>
          <w:szCs w:val="22"/>
        </w:rPr>
      </w:pPr>
      <w:r>
        <w:rPr>
          <w:rFonts w:ascii="Times New Roman" w:eastAsia="Times New Roman" w:hAnsi="Times New Roman" w:cs="Times New Roman"/>
          <w:sz w:val="22"/>
          <w:szCs w:val="22"/>
        </w:rPr>
        <w:t>The built environment is the primary environment people are exposed to because people spend approximately 90% of their time indoors.</w:t>
      </w:r>
      <w:r>
        <w:rPr>
          <w:rFonts w:ascii="Arial" w:eastAsia="Arial" w:hAnsi="Arial"/>
          <w:sz w:val="12"/>
          <w:szCs w:val="12"/>
        </w:rPr>
        <w:t>121</w:t>
      </w:r>
      <w:r>
        <w:rPr>
          <w:rFonts w:ascii="Times New Roman" w:eastAsia="Times New Roman" w:hAnsi="Times New Roman" w:cs="Times New Roman"/>
          <w:sz w:val="22"/>
          <w:szCs w:val="22"/>
        </w:rPr>
        <w:t xml:space="preserve"> However, outdoor green space is also part of the built environment, and it can have health benefits (mental health, exer</w:t>
      </w:r>
      <w:r>
        <w:rPr>
          <w:rFonts w:ascii="Times New Roman" w:eastAsia="Times New Roman" w:hAnsi="Times New Roman" w:cs="Times New Roman"/>
          <w:sz w:val="22"/>
          <w:szCs w:val="22"/>
        </w:rPr>
        <w:t xml:space="preserve">cise, etc.) for those who have access. Consequently, there are significant opportunities for improving public health while reducing GHG emissions by introducing green space, such as parks, especially in urban environments and Disadvantaged Communities. </w:t>
      </w:r>
      <w:sdt>
        <w:sdtPr>
          <w:tag w:val="goog_rdk_4"/>
          <w:id w:val="-970514976"/>
        </w:sdtPr>
        <w:sdtEndPr/>
        <w:sdtContent>
          <w:commentRangeStart w:id="17"/>
        </w:sdtContent>
      </w:sdt>
      <w:r>
        <w:rPr>
          <w:rFonts w:ascii="Times New Roman" w:eastAsia="Times New Roman" w:hAnsi="Times New Roman" w:cs="Times New Roman"/>
          <w:sz w:val="22"/>
          <w:szCs w:val="22"/>
        </w:rPr>
        <w:t>G</w:t>
      </w:r>
      <w:r>
        <w:rPr>
          <w:rFonts w:ascii="Times New Roman" w:eastAsia="Times New Roman" w:hAnsi="Times New Roman" w:cs="Times New Roman"/>
          <w:sz w:val="22"/>
          <w:szCs w:val="22"/>
        </w:rPr>
        <w:t>reen spaces, such as parks, urban greenery, and street trees, as well as blue space, comprised of water elements, can have beneficial health effects, particularly in urban environments</w:t>
      </w:r>
      <w:commentRangeEnd w:id="17"/>
      <w:r>
        <w:commentReference w:id="17"/>
      </w:r>
      <w:r>
        <w:rPr>
          <w:rFonts w:ascii="Times New Roman" w:eastAsia="Times New Roman" w:hAnsi="Times New Roman" w:cs="Times New Roman"/>
          <w:sz w:val="22"/>
          <w:szCs w:val="22"/>
        </w:rPr>
        <w:t xml:space="preserve">. Effects include decreasing risk of cardiovascular disease and type </w:t>
      </w:r>
      <w:r>
        <w:rPr>
          <w:rFonts w:ascii="Times New Roman" w:eastAsia="Times New Roman" w:hAnsi="Times New Roman" w:cs="Times New Roman"/>
          <w:sz w:val="22"/>
          <w:szCs w:val="22"/>
        </w:rPr>
        <w:t>2 diabetes mellitus while improving mental health and quality of sleep and increasing birth weight.</w:t>
      </w:r>
      <w:r>
        <w:rPr>
          <w:rFonts w:ascii="Arial" w:eastAsia="Arial" w:hAnsi="Arial"/>
          <w:sz w:val="12"/>
          <w:szCs w:val="12"/>
        </w:rPr>
        <w:t>122</w:t>
      </w:r>
      <w:r>
        <w:rPr>
          <w:rFonts w:ascii="Times New Roman" w:eastAsia="Times New Roman" w:hAnsi="Times New Roman" w:cs="Times New Roman"/>
          <w:sz w:val="27"/>
          <w:szCs w:val="27"/>
          <w:vertAlign w:val="superscript"/>
        </w:rPr>
        <w:t>,</w:t>
      </w:r>
      <w:r>
        <w:rPr>
          <w:rFonts w:ascii="Arial" w:eastAsia="Arial" w:hAnsi="Arial"/>
          <w:sz w:val="12"/>
          <w:szCs w:val="12"/>
        </w:rPr>
        <w:t>123</w:t>
      </w:r>
      <w:r>
        <w:rPr>
          <w:rFonts w:ascii="Times New Roman" w:eastAsia="Times New Roman" w:hAnsi="Times New Roman" w:cs="Times New Roman"/>
          <w:sz w:val="27"/>
          <w:szCs w:val="27"/>
          <w:vertAlign w:val="superscript"/>
        </w:rPr>
        <w:t>,</w:t>
      </w:r>
      <w:r>
        <w:rPr>
          <w:rFonts w:ascii="Arial" w:eastAsia="Arial" w:hAnsi="Arial"/>
          <w:sz w:val="12"/>
          <w:szCs w:val="12"/>
        </w:rPr>
        <w:t>124</w:t>
      </w:r>
      <w:r>
        <w:rPr>
          <w:rFonts w:ascii="Times New Roman" w:eastAsia="Times New Roman" w:hAnsi="Times New Roman" w:cs="Times New Roman"/>
          <w:sz w:val="27"/>
          <w:szCs w:val="27"/>
          <w:vertAlign w:val="superscript"/>
        </w:rPr>
        <w:t>,</w:t>
      </w:r>
      <w:r>
        <w:rPr>
          <w:rFonts w:ascii="Arial" w:eastAsia="Arial" w:hAnsi="Arial"/>
          <w:sz w:val="12"/>
          <w:szCs w:val="12"/>
        </w:rPr>
        <w:t>125</w:t>
      </w:r>
      <w:r>
        <w:rPr>
          <w:rFonts w:ascii="Times New Roman" w:eastAsia="Times New Roman" w:hAnsi="Times New Roman" w:cs="Times New Roman"/>
          <w:sz w:val="27"/>
          <w:szCs w:val="27"/>
          <w:vertAlign w:val="superscript"/>
        </w:rPr>
        <w:t>,</w:t>
      </w:r>
      <w:r>
        <w:rPr>
          <w:rFonts w:ascii="Arial" w:eastAsia="Arial" w:hAnsi="Arial"/>
          <w:sz w:val="12"/>
          <w:szCs w:val="12"/>
        </w:rPr>
        <w:t>126</w:t>
      </w:r>
      <w:r>
        <w:rPr>
          <w:rFonts w:ascii="Times New Roman" w:eastAsia="Times New Roman" w:hAnsi="Times New Roman" w:cs="Times New Roman"/>
          <w:sz w:val="27"/>
          <w:szCs w:val="27"/>
          <w:vertAlign w:val="superscript"/>
        </w:rPr>
        <w:t>,</w:t>
      </w:r>
      <w:r>
        <w:rPr>
          <w:rFonts w:ascii="Arial" w:eastAsia="Arial" w:hAnsi="Arial"/>
          <w:sz w:val="12"/>
          <w:szCs w:val="12"/>
        </w:rPr>
        <w:t>127</w:t>
      </w:r>
      <w:r>
        <w:rPr>
          <w:rFonts w:ascii="Times New Roman" w:eastAsia="Times New Roman" w:hAnsi="Times New Roman" w:cs="Times New Roman"/>
          <w:sz w:val="27"/>
          <w:szCs w:val="27"/>
          <w:vertAlign w:val="superscript"/>
        </w:rPr>
        <w:t>,</w:t>
      </w:r>
      <w:r>
        <w:rPr>
          <w:rFonts w:ascii="Arial" w:eastAsia="Arial" w:hAnsi="Arial"/>
          <w:sz w:val="12"/>
          <w:szCs w:val="12"/>
        </w:rPr>
        <w:t>128</w:t>
      </w:r>
      <w:r>
        <w:rPr>
          <w:rFonts w:ascii="Times New Roman" w:eastAsia="Times New Roman" w:hAnsi="Times New Roman" w:cs="Times New Roman"/>
          <w:sz w:val="27"/>
          <w:szCs w:val="27"/>
          <w:vertAlign w:val="superscript"/>
        </w:rPr>
        <w:t>,</w:t>
      </w:r>
      <w:r>
        <w:rPr>
          <w:rFonts w:ascii="Arial" w:eastAsia="Arial" w:hAnsi="Arial"/>
          <w:sz w:val="12"/>
          <w:szCs w:val="12"/>
        </w:rPr>
        <w:t>129</w:t>
      </w:r>
      <w:r>
        <w:rPr>
          <w:rFonts w:ascii="Times New Roman" w:eastAsia="Times New Roman" w:hAnsi="Times New Roman" w:cs="Times New Roman"/>
          <w:sz w:val="22"/>
          <w:szCs w:val="22"/>
        </w:rPr>
        <w:t xml:space="preserve"> Urban environments, which experience the “heat island effect,” trees and other green spaces can cool their</w:t>
      </w:r>
    </w:p>
    <w:p w14:paraId="0000018F" w14:textId="77777777" w:rsidR="00E73A2B" w:rsidRDefault="00A25CF8">
      <w:pPr>
        <w:spacing w:line="20" w:lineRule="auto"/>
        <w:rPr>
          <w:rFonts w:ascii="Times New Roman" w:eastAsia="Times New Roman" w:hAnsi="Times New Roman" w:cs="Times New Roman"/>
        </w:rPr>
      </w:pPr>
      <w:r>
        <w:rPr>
          <w:noProof/>
        </w:rPr>
        <mc:AlternateContent>
          <mc:Choice Requires="wpg">
            <w:drawing>
              <wp:anchor distT="0" distB="0" distL="0" distR="0" simplePos="0" relativeHeight="251670528" behindDoc="1" locked="0" layoutInCell="1" hidden="0" allowOverlap="1">
                <wp:simplePos x="0" y="0"/>
                <wp:positionH relativeFrom="column">
                  <wp:posOffset>0</wp:posOffset>
                </wp:positionH>
                <wp:positionV relativeFrom="paragraph">
                  <wp:posOffset>660400</wp:posOffset>
                </wp:positionV>
                <wp:extent cx="1838325" cy="22225"/>
                <wp:effectExtent l="0" t="0" r="0" b="0"/>
                <wp:wrapNone/>
                <wp:docPr id="33" name=""/>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660400</wp:posOffset>
                </wp:positionV>
                <wp:extent cx="1838325" cy="22225"/>
                <wp:effectExtent b="0" l="0" r="0" t="0"/>
                <wp:wrapNone/>
                <wp:docPr id="33" name="image1.png"/>
                <a:graphic>
                  <a:graphicData uri="http://schemas.openxmlformats.org/drawingml/2006/picture">
                    <pic:pic>
                      <pic:nvPicPr>
                        <pic:cNvPr id="0" name="image1.png"/>
                        <pic:cNvPicPr preferRelativeResize="0"/>
                      </pic:nvPicPr>
                      <pic:blipFill>
                        <a:blip r:embed="rId27"/>
                        <a:srcRect/>
                        <a:stretch>
                          <a:fillRect/>
                        </a:stretch>
                      </pic:blipFill>
                      <pic:spPr>
                        <a:xfrm>
                          <a:off x="0" y="0"/>
                          <a:ext cx="1838325" cy="22225"/>
                        </a:xfrm>
                        <a:prstGeom prst="rect"/>
                        <a:ln/>
                      </pic:spPr>
                    </pic:pic>
                  </a:graphicData>
                </a:graphic>
              </wp:anchor>
            </w:drawing>
          </mc:Fallback>
        </mc:AlternateContent>
      </w:r>
    </w:p>
    <w:p w14:paraId="00000190" w14:textId="77777777" w:rsidR="00E73A2B" w:rsidRDefault="00E73A2B">
      <w:pPr>
        <w:spacing w:line="200" w:lineRule="auto"/>
        <w:rPr>
          <w:rFonts w:ascii="Times New Roman" w:eastAsia="Times New Roman" w:hAnsi="Times New Roman" w:cs="Times New Roman"/>
        </w:rPr>
      </w:pPr>
    </w:p>
    <w:p w14:paraId="00000191" w14:textId="77777777" w:rsidR="00E73A2B" w:rsidRDefault="00E73A2B">
      <w:pPr>
        <w:spacing w:line="200" w:lineRule="auto"/>
        <w:rPr>
          <w:rFonts w:ascii="Times New Roman" w:eastAsia="Times New Roman" w:hAnsi="Times New Roman" w:cs="Times New Roman"/>
        </w:rPr>
      </w:pPr>
    </w:p>
    <w:p w14:paraId="00000192" w14:textId="77777777" w:rsidR="00E73A2B" w:rsidRDefault="00E73A2B">
      <w:pPr>
        <w:spacing w:line="200" w:lineRule="auto"/>
        <w:rPr>
          <w:rFonts w:ascii="Times New Roman" w:eastAsia="Times New Roman" w:hAnsi="Times New Roman" w:cs="Times New Roman"/>
        </w:rPr>
      </w:pPr>
    </w:p>
    <w:p w14:paraId="00000193" w14:textId="77777777" w:rsidR="00E73A2B" w:rsidRDefault="00E73A2B">
      <w:pPr>
        <w:spacing w:line="200" w:lineRule="auto"/>
        <w:rPr>
          <w:rFonts w:ascii="Times New Roman" w:eastAsia="Times New Roman" w:hAnsi="Times New Roman" w:cs="Times New Roman"/>
        </w:rPr>
      </w:pPr>
    </w:p>
    <w:p w14:paraId="00000194" w14:textId="77777777" w:rsidR="00E73A2B" w:rsidRDefault="00E73A2B">
      <w:pPr>
        <w:spacing w:line="200" w:lineRule="auto"/>
        <w:rPr>
          <w:rFonts w:ascii="Times New Roman" w:eastAsia="Times New Roman" w:hAnsi="Times New Roman" w:cs="Times New Roman"/>
        </w:rPr>
      </w:pPr>
    </w:p>
    <w:p w14:paraId="00000195" w14:textId="77777777" w:rsidR="00E73A2B" w:rsidRDefault="00E73A2B">
      <w:pPr>
        <w:spacing w:line="340" w:lineRule="auto"/>
        <w:rPr>
          <w:rFonts w:ascii="Times New Roman" w:eastAsia="Times New Roman" w:hAnsi="Times New Roman" w:cs="Times New Roman"/>
        </w:rPr>
      </w:pPr>
    </w:p>
    <w:p w14:paraId="00000196" w14:textId="77777777" w:rsidR="00E73A2B" w:rsidRDefault="00A25CF8">
      <w:pPr>
        <w:numPr>
          <w:ilvl w:val="0"/>
          <w:numId w:val="16"/>
        </w:numPr>
        <w:tabs>
          <w:tab w:val="left" w:pos="270"/>
        </w:tabs>
        <w:spacing w:line="208" w:lineRule="auto"/>
        <w:ind w:left="280" w:right="400" w:hanging="280"/>
        <w:rPr>
          <w:rFonts w:ascii="Arial" w:eastAsia="Arial" w:hAnsi="Arial"/>
          <w:sz w:val="24"/>
          <w:szCs w:val="24"/>
          <w:vertAlign w:val="superscript"/>
        </w:rPr>
      </w:pPr>
      <w:r>
        <w:rPr>
          <w:rFonts w:ascii="Times New Roman" w:eastAsia="Times New Roman" w:hAnsi="Times New Roman" w:cs="Times New Roman"/>
          <w:sz w:val="17"/>
          <w:szCs w:val="17"/>
        </w:rPr>
        <w:t>U.S. Environmental Protection Agency. 1989. Report to Congress on indoor air quality: Volume 2. EPA/400/1-89/001C. Washington, DC.</w:t>
      </w:r>
    </w:p>
    <w:p w14:paraId="00000197" w14:textId="77777777" w:rsidR="00E73A2B" w:rsidRDefault="00E73A2B">
      <w:pPr>
        <w:spacing w:line="39" w:lineRule="auto"/>
        <w:rPr>
          <w:rFonts w:ascii="Arial" w:eastAsia="Arial" w:hAnsi="Arial"/>
          <w:sz w:val="24"/>
          <w:szCs w:val="24"/>
          <w:vertAlign w:val="superscript"/>
        </w:rPr>
      </w:pPr>
    </w:p>
    <w:p w14:paraId="00000198" w14:textId="77777777" w:rsidR="00E73A2B" w:rsidRDefault="00A25CF8">
      <w:pPr>
        <w:numPr>
          <w:ilvl w:val="0"/>
          <w:numId w:val="16"/>
        </w:numPr>
        <w:tabs>
          <w:tab w:val="left" w:pos="260"/>
        </w:tabs>
        <w:ind w:left="260" w:hanging="260"/>
        <w:rPr>
          <w:rFonts w:ascii="Arial" w:eastAsia="Arial" w:hAnsi="Arial"/>
          <w:sz w:val="23"/>
          <w:szCs w:val="23"/>
          <w:vertAlign w:val="superscript"/>
        </w:rPr>
      </w:pPr>
      <w:r>
        <w:rPr>
          <w:rFonts w:ascii="Times New Roman" w:eastAsia="Times New Roman" w:hAnsi="Times New Roman" w:cs="Times New Roman"/>
          <w:sz w:val="16"/>
          <w:szCs w:val="16"/>
        </w:rPr>
        <w:t>Hartig, T. 2007. Three Steps To Understanding Restorative Environments As Health Resources. In: Thompson, C. W. &amp;</w:t>
      </w:r>
    </w:p>
    <w:p w14:paraId="00000199" w14:textId="77777777" w:rsidR="00E73A2B" w:rsidRDefault="00E73A2B">
      <w:pPr>
        <w:spacing w:line="22" w:lineRule="auto"/>
        <w:rPr>
          <w:rFonts w:ascii="Arial" w:eastAsia="Arial" w:hAnsi="Arial"/>
          <w:sz w:val="23"/>
          <w:szCs w:val="23"/>
          <w:vertAlign w:val="superscript"/>
        </w:rPr>
      </w:pPr>
    </w:p>
    <w:p w14:paraId="0000019A" w14:textId="77777777" w:rsidR="00E73A2B" w:rsidRDefault="00A25CF8">
      <w:pPr>
        <w:spacing w:line="221" w:lineRule="auto"/>
        <w:ind w:left="280"/>
        <w:rPr>
          <w:rFonts w:ascii="Times New Roman" w:eastAsia="Times New Roman" w:hAnsi="Times New Roman" w:cs="Times New Roman"/>
          <w:sz w:val="18"/>
          <w:szCs w:val="18"/>
        </w:rPr>
      </w:pPr>
      <w:r>
        <w:rPr>
          <w:rFonts w:ascii="Times New Roman" w:eastAsia="Times New Roman" w:hAnsi="Times New Roman" w:cs="Times New Roman"/>
          <w:sz w:val="18"/>
          <w:szCs w:val="18"/>
        </w:rPr>
        <w:t>Travlou, P. (Eds.) Open Space: People Space. Abingdon: Taylor &amp; Francis.</w:t>
      </w:r>
    </w:p>
    <w:p w14:paraId="0000019B" w14:textId="77777777" w:rsidR="00E73A2B" w:rsidRDefault="00E73A2B">
      <w:pPr>
        <w:spacing w:line="40" w:lineRule="auto"/>
        <w:rPr>
          <w:rFonts w:ascii="Arial" w:eastAsia="Arial" w:hAnsi="Arial"/>
          <w:sz w:val="23"/>
          <w:szCs w:val="23"/>
          <w:vertAlign w:val="superscript"/>
        </w:rPr>
      </w:pPr>
    </w:p>
    <w:p w14:paraId="0000019C" w14:textId="77777777" w:rsidR="00E73A2B" w:rsidRDefault="00A25CF8">
      <w:pPr>
        <w:numPr>
          <w:ilvl w:val="0"/>
          <w:numId w:val="16"/>
        </w:numPr>
        <w:tabs>
          <w:tab w:val="left" w:pos="260"/>
        </w:tabs>
        <w:ind w:left="260" w:hanging="260"/>
        <w:rPr>
          <w:rFonts w:ascii="Arial" w:eastAsia="Arial" w:hAnsi="Arial"/>
          <w:sz w:val="23"/>
          <w:szCs w:val="23"/>
          <w:vertAlign w:val="superscript"/>
        </w:rPr>
      </w:pPr>
      <w:r>
        <w:rPr>
          <w:rFonts w:ascii="Times New Roman" w:eastAsia="Times New Roman" w:hAnsi="Times New Roman" w:cs="Times New Roman"/>
          <w:sz w:val="16"/>
          <w:szCs w:val="16"/>
        </w:rPr>
        <w:t>Hartig, T., Mang, M. &amp; Evans, G. W. 1991. Restorative Effects Of Natural Environment Experiences. Environment And</w:t>
      </w:r>
    </w:p>
    <w:p w14:paraId="0000019D" w14:textId="77777777" w:rsidR="00E73A2B" w:rsidRDefault="00E73A2B">
      <w:pPr>
        <w:spacing w:line="22" w:lineRule="auto"/>
        <w:rPr>
          <w:rFonts w:ascii="Arial" w:eastAsia="Arial" w:hAnsi="Arial"/>
          <w:sz w:val="23"/>
          <w:szCs w:val="23"/>
          <w:vertAlign w:val="superscript"/>
        </w:rPr>
      </w:pPr>
    </w:p>
    <w:p w14:paraId="0000019E" w14:textId="77777777" w:rsidR="00E73A2B" w:rsidRDefault="00A25CF8">
      <w:pPr>
        <w:spacing w:line="181" w:lineRule="auto"/>
        <w:ind w:left="280"/>
        <w:rPr>
          <w:rFonts w:ascii="MS PGothic" w:eastAsia="MS PGothic" w:hAnsi="MS PGothic" w:cs="MS PGothic"/>
          <w:sz w:val="18"/>
          <w:szCs w:val="18"/>
        </w:rPr>
      </w:pPr>
      <w:r>
        <w:rPr>
          <w:rFonts w:ascii="MS PGothic" w:eastAsia="MS PGothic" w:hAnsi="MS PGothic" w:cs="MS PGothic"/>
          <w:sz w:val="18"/>
          <w:szCs w:val="18"/>
        </w:rPr>
        <w:t>Behavior, 23, 3‐26.</w:t>
      </w:r>
    </w:p>
    <w:p w14:paraId="0000019F" w14:textId="77777777" w:rsidR="00E73A2B" w:rsidRDefault="00E73A2B">
      <w:pPr>
        <w:spacing w:line="116" w:lineRule="auto"/>
        <w:rPr>
          <w:rFonts w:ascii="Arial" w:eastAsia="Arial" w:hAnsi="Arial"/>
          <w:sz w:val="23"/>
          <w:szCs w:val="23"/>
          <w:vertAlign w:val="superscript"/>
        </w:rPr>
      </w:pPr>
    </w:p>
    <w:p w14:paraId="000001A0" w14:textId="77777777" w:rsidR="00E73A2B" w:rsidRDefault="00A25CF8">
      <w:pPr>
        <w:numPr>
          <w:ilvl w:val="0"/>
          <w:numId w:val="16"/>
        </w:numPr>
        <w:tabs>
          <w:tab w:val="left" w:pos="270"/>
        </w:tabs>
        <w:spacing w:line="207" w:lineRule="auto"/>
        <w:ind w:left="280" w:right="340" w:hanging="280"/>
        <w:rPr>
          <w:rFonts w:ascii="Arial" w:eastAsia="Arial" w:hAnsi="Arial"/>
          <w:sz w:val="24"/>
          <w:szCs w:val="24"/>
          <w:vertAlign w:val="superscript"/>
        </w:rPr>
      </w:pPr>
      <w:r w:rsidRPr="00A25CF8">
        <w:rPr>
          <w:rFonts w:ascii="Times New Roman" w:eastAsia="Times New Roman" w:hAnsi="Times New Roman" w:cs="Times New Roman"/>
          <w:sz w:val="17"/>
          <w:szCs w:val="17"/>
          <w:lang w:val="es-CL"/>
        </w:rPr>
        <w:t>Beyer, K. M., Kaltenbach, A., Szabo, A., Bogar</w:t>
      </w:r>
      <w:r w:rsidRPr="00A25CF8">
        <w:rPr>
          <w:rFonts w:ascii="Times New Roman" w:eastAsia="Times New Roman" w:hAnsi="Times New Roman" w:cs="Times New Roman"/>
          <w:sz w:val="17"/>
          <w:szCs w:val="17"/>
          <w:lang w:val="es-CL"/>
        </w:rPr>
        <w:t xml:space="preserve">, S., Nieto, F. J. &amp; Malecki, K. M. 2014. </w:t>
      </w:r>
      <w:r>
        <w:rPr>
          <w:rFonts w:ascii="Times New Roman" w:eastAsia="Times New Roman" w:hAnsi="Times New Roman" w:cs="Times New Roman"/>
          <w:sz w:val="17"/>
          <w:szCs w:val="17"/>
        </w:rPr>
        <w:t>Exposure to neighborhood green space and mental health: Evidence from the survey of the health of Wisconsin. International Journal Of Environmental</w:t>
      </w:r>
    </w:p>
    <w:p w14:paraId="000001A1" w14:textId="77777777" w:rsidR="00E73A2B" w:rsidRDefault="00E73A2B">
      <w:pPr>
        <w:spacing w:line="14" w:lineRule="auto"/>
        <w:rPr>
          <w:rFonts w:ascii="Arial" w:eastAsia="Arial" w:hAnsi="Arial"/>
          <w:sz w:val="24"/>
          <w:szCs w:val="24"/>
          <w:vertAlign w:val="superscript"/>
        </w:rPr>
      </w:pPr>
    </w:p>
    <w:p w14:paraId="000001A2" w14:textId="77777777" w:rsidR="00E73A2B" w:rsidRDefault="00A25CF8">
      <w:pPr>
        <w:spacing w:line="181" w:lineRule="auto"/>
        <w:ind w:left="280"/>
        <w:rPr>
          <w:rFonts w:ascii="MS PGothic" w:eastAsia="MS PGothic" w:hAnsi="MS PGothic" w:cs="MS PGothic"/>
          <w:sz w:val="18"/>
          <w:szCs w:val="18"/>
        </w:rPr>
      </w:pPr>
      <w:r>
        <w:rPr>
          <w:rFonts w:ascii="MS PGothic" w:eastAsia="MS PGothic" w:hAnsi="MS PGothic" w:cs="MS PGothic"/>
          <w:sz w:val="18"/>
          <w:szCs w:val="18"/>
        </w:rPr>
        <w:t>Research &amp; Public Health, 11, 3453‐72.</w:t>
      </w:r>
    </w:p>
    <w:p w14:paraId="000001A3" w14:textId="77777777" w:rsidR="00E73A2B" w:rsidRDefault="00E73A2B">
      <w:pPr>
        <w:spacing w:line="124" w:lineRule="auto"/>
        <w:rPr>
          <w:rFonts w:ascii="Arial" w:eastAsia="Arial" w:hAnsi="Arial"/>
          <w:sz w:val="24"/>
          <w:szCs w:val="24"/>
          <w:vertAlign w:val="superscript"/>
        </w:rPr>
      </w:pPr>
    </w:p>
    <w:p w14:paraId="000001A4" w14:textId="77777777" w:rsidR="00E73A2B" w:rsidRDefault="00A25CF8">
      <w:pPr>
        <w:numPr>
          <w:ilvl w:val="0"/>
          <w:numId w:val="16"/>
        </w:numPr>
        <w:tabs>
          <w:tab w:val="left" w:pos="270"/>
        </w:tabs>
        <w:spacing w:line="205" w:lineRule="auto"/>
        <w:ind w:left="280" w:right="260" w:hanging="280"/>
        <w:rPr>
          <w:rFonts w:ascii="Arial" w:eastAsia="Arial" w:hAnsi="Arial"/>
          <w:sz w:val="24"/>
          <w:szCs w:val="24"/>
          <w:vertAlign w:val="superscript"/>
        </w:rPr>
      </w:pPr>
      <w:r>
        <w:rPr>
          <w:rFonts w:ascii="Times New Roman" w:eastAsia="Times New Roman" w:hAnsi="Times New Roman" w:cs="Times New Roman"/>
          <w:sz w:val="17"/>
          <w:szCs w:val="17"/>
        </w:rPr>
        <w:t>Völker, S. &amp; Kistemann, T. 2015. Developing The Urban Blue: Comparative Health Responses To Blue And Green Urban Open Spaces In Germany. Health &amp; Place, 35, 196</w:t>
      </w:r>
      <w:r>
        <w:rPr>
          <w:rFonts w:ascii="MS PGothic" w:eastAsia="MS PGothic" w:hAnsi="MS PGothic" w:cs="MS PGothic"/>
          <w:sz w:val="17"/>
          <w:szCs w:val="17"/>
        </w:rPr>
        <w:t>–</w:t>
      </w:r>
      <w:r>
        <w:rPr>
          <w:rFonts w:ascii="Times New Roman" w:eastAsia="Times New Roman" w:hAnsi="Times New Roman" w:cs="Times New Roman"/>
          <w:sz w:val="17"/>
          <w:szCs w:val="17"/>
        </w:rPr>
        <w:t>205.</w:t>
      </w:r>
    </w:p>
    <w:p w14:paraId="000001A5" w14:textId="77777777" w:rsidR="00E73A2B" w:rsidRDefault="00E73A2B">
      <w:pPr>
        <w:spacing w:line="108" w:lineRule="auto"/>
        <w:rPr>
          <w:rFonts w:ascii="Arial" w:eastAsia="Arial" w:hAnsi="Arial"/>
          <w:sz w:val="24"/>
          <w:szCs w:val="24"/>
          <w:vertAlign w:val="superscript"/>
        </w:rPr>
      </w:pPr>
    </w:p>
    <w:p w14:paraId="000001A6" w14:textId="77777777" w:rsidR="00E73A2B" w:rsidRDefault="00A25CF8">
      <w:pPr>
        <w:numPr>
          <w:ilvl w:val="0"/>
          <w:numId w:val="16"/>
        </w:numPr>
        <w:tabs>
          <w:tab w:val="left" w:pos="270"/>
        </w:tabs>
        <w:spacing w:line="205" w:lineRule="auto"/>
        <w:ind w:left="280" w:right="500" w:hanging="280"/>
        <w:rPr>
          <w:rFonts w:ascii="Arial" w:eastAsia="Arial" w:hAnsi="Arial"/>
          <w:sz w:val="24"/>
          <w:szCs w:val="24"/>
          <w:vertAlign w:val="superscript"/>
        </w:rPr>
      </w:pPr>
      <w:r>
        <w:rPr>
          <w:rFonts w:ascii="MS PGothic" w:eastAsia="MS PGothic" w:hAnsi="MS PGothic" w:cs="MS PGothic"/>
          <w:sz w:val="17"/>
          <w:szCs w:val="17"/>
        </w:rPr>
        <w:t>Astell‐Burt, T., Feng, X. &amp; Kolt, G. S. 2014a. Is Neighborhood Green Space Associated Wit</w:t>
      </w:r>
      <w:r>
        <w:rPr>
          <w:rFonts w:ascii="MS PGothic" w:eastAsia="MS PGothic" w:hAnsi="MS PGothic" w:cs="MS PGothic"/>
          <w:sz w:val="17"/>
          <w:szCs w:val="17"/>
        </w:rPr>
        <w:t>h A Lower Risk Of Type 2 Diabetes? Evidence From 267,072 Australians. Diabetes Care, 37, 197‐201.</w:t>
      </w:r>
    </w:p>
    <w:p w14:paraId="000001A7" w14:textId="77777777" w:rsidR="00E73A2B" w:rsidRDefault="00E73A2B">
      <w:pPr>
        <w:spacing w:line="39" w:lineRule="auto"/>
        <w:rPr>
          <w:rFonts w:ascii="Arial" w:eastAsia="Arial" w:hAnsi="Arial"/>
          <w:sz w:val="24"/>
          <w:szCs w:val="24"/>
          <w:vertAlign w:val="superscript"/>
        </w:rPr>
      </w:pPr>
    </w:p>
    <w:p w14:paraId="000001A8" w14:textId="77777777" w:rsidR="00E73A2B" w:rsidRDefault="00A25CF8">
      <w:pPr>
        <w:numPr>
          <w:ilvl w:val="0"/>
          <w:numId w:val="16"/>
        </w:numPr>
        <w:tabs>
          <w:tab w:val="left" w:pos="260"/>
        </w:tabs>
        <w:ind w:left="260" w:hanging="260"/>
        <w:rPr>
          <w:rFonts w:ascii="Arial" w:eastAsia="Arial" w:hAnsi="Arial"/>
          <w:sz w:val="23"/>
          <w:szCs w:val="23"/>
          <w:vertAlign w:val="superscript"/>
        </w:rPr>
      </w:pPr>
      <w:r>
        <w:rPr>
          <w:rFonts w:ascii="Times New Roman" w:eastAsia="Times New Roman" w:hAnsi="Times New Roman" w:cs="Times New Roman"/>
          <w:sz w:val="16"/>
          <w:szCs w:val="16"/>
        </w:rPr>
        <w:t>Maas, J., Verheij, R. A., De Vries, S., Spreeuwenberg, P., Schellevis, F. G. &amp; Groenewegen, P. P. 2009b. Morbidity Is</w:t>
      </w:r>
    </w:p>
    <w:p w14:paraId="000001A9" w14:textId="77777777" w:rsidR="00E73A2B" w:rsidRDefault="00E73A2B">
      <w:pPr>
        <w:spacing w:line="22" w:lineRule="auto"/>
        <w:rPr>
          <w:rFonts w:ascii="Arial" w:eastAsia="Arial" w:hAnsi="Arial"/>
          <w:sz w:val="23"/>
          <w:szCs w:val="23"/>
          <w:vertAlign w:val="superscript"/>
        </w:rPr>
      </w:pPr>
    </w:p>
    <w:p w14:paraId="000001AA" w14:textId="77777777" w:rsidR="00E73A2B" w:rsidRDefault="00A25CF8">
      <w:pPr>
        <w:spacing w:line="181" w:lineRule="auto"/>
        <w:ind w:left="280"/>
        <w:rPr>
          <w:rFonts w:ascii="MS PGothic" w:eastAsia="MS PGothic" w:hAnsi="MS PGothic" w:cs="MS PGothic"/>
          <w:sz w:val="18"/>
          <w:szCs w:val="18"/>
        </w:rPr>
      </w:pPr>
      <w:r>
        <w:rPr>
          <w:rFonts w:ascii="MS PGothic" w:eastAsia="MS PGothic" w:hAnsi="MS PGothic" w:cs="MS PGothic"/>
          <w:sz w:val="18"/>
          <w:szCs w:val="18"/>
        </w:rPr>
        <w:t>Related To A Green Living Environment.</w:t>
      </w:r>
      <w:r>
        <w:rPr>
          <w:rFonts w:ascii="MS PGothic" w:eastAsia="MS PGothic" w:hAnsi="MS PGothic" w:cs="MS PGothic"/>
          <w:sz w:val="18"/>
          <w:szCs w:val="18"/>
        </w:rPr>
        <w:t xml:space="preserve"> Journal Of Epidemiology And Community Health, 63, 967‐973.</w:t>
      </w:r>
    </w:p>
    <w:p w14:paraId="000001AB" w14:textId="77777777" w:rsidR="00E73A2B" w:rsidRDefault="00E73A2B">
      <w:pPr>
        <w:spacing w:line="118" w:lineRule="auto"/>
        <w:rPr>
          <w:rFonts w:ascii="Arial" w:eastAsia="Arial" w:hAnsi="Arial"/>
          <w:sz w:val="23"/>
          <w:szCs w:val="23"/>
          <w:vertAlign w:val="superscript"/>
        </w:rPr>
      </w:pPr>
    </w:p>
    <w:p w14:paraId="000001AC" w14:textId="77777777" w:rsidR="00E73A2B" w:rsidRDefault="00A25CF8">
      <w:pPr>
        <w:numPr>
          <w:ilvl w:val="0"/>
          <w:numId w:val="16"/>
        </w:numPr>
        <w:tabs>
          <w:tab w:val="left" w:pos="270"/>
        </w:tabs>
        <w:spacing w:line="204" w:lineRule="auto"/>
        <w:ind w:left="280" w:right="40" w:hanging="280"/>
        <w:rPr>
          <w:rFonts w:ascii="Arial" w:eastAsia="Arial" w:hAnsi="Arial"/>
          <w:sz w:val="24"/>
          <w:szCs w:val="24"/>
          <w:vertAlign w:val="superscript"/>
        </w:rPr>
      </w:pPr>
      <w:r>
        <w:rPr>
          <w:rFonts w:ascii="MS PGothic" w:eastAsia="MS PGothic" w:hAnsi="MS PGothic" w:cs="MS PGothic"/>
          <w:sz w:val="17"/>
          <w:szCs w:val="17"/>
        </w:rPr>
        <w:t>Bodicoat, D.H., O’donovan, G., Dalton, A.M., Gray, L.J., Yates, T., Edwardson, C., Hill, S</w:t>
      </w:r>
      <w:r>
        <w:rPr>
          <w:rFonts w:ascii="Times New Roman" w:eastAsia="Times New Roman" w:hAnsi="Times New Roman" w:cs="Times New Roman"/>
          <w:sz w:val="17"/>
          <w:szCs w:val="17"/>
        </w:rPr>
        <w:t xml:space="preserve">., Webb, D.R., Khunti, K., Davies, </w:t>
      </w:r>
      <w:r>
        <w:rPr>
          <w:rFonts w:ascii="MS PGothic" w:eastAsia="MS PGothic" w:hAnsi="MS PGothic" w:cs="MS PGothic"/>
          <w:sz w:val="17"/>
          <w:szCs w:val="17"/>
        </w:rPr>
        <w:t>M.J. &amp; Jones, A.P. 2014. The Association Between Neighbourhood Greensp</w:t>
      </w:r>
      <w:r>
        <w:rPr>
          <w:rFonts w:ascii="MS PGothic" w:eastAsia="MS PGothic" w:hAnsi="MS PGothic" w:cs="MS PGothic"/>
          <w:sz w:val="17"/>
          <w:szCs w:val="17"/>
        </w:rPr>
        <w:t>ace And Type 2 Diabetes In A Large Cross‐</w:t>
      </w:r>
    </w:p>
    <w:p w14:paraId="000001AD" w14:textId="77777777" w:rsidR="00E73A2B" w:rsidRDefault="00E73A2B">
      <w:pPr>
        <w:spacing w:line="14" w:lineRule="auto"/>
        <w:rPr>
          <w:rFonts w:ascii="Arial" w:eastAsia="Arial" w:hAnsi="Arial"/>
          <w:sz w:val="24"/>
          <w:szCs w:val="24"/>
          <w:vertAlign w:val="superscript"/>
        </w:rPr>
      </w:pPr>
    </w:p>
    <w:p w14:paraId="000001AE" w14:textId="77777777" w:rsidR="00E73A2B" w:rsidRDefault="00A25CF8">
      <w:pPr>
        <w:ind w:left="280"/>
        <w:rPr>
          <w:rFonts w:ascii="Times New Roman" w:eastAsia="Times New Roman" w:hAnsi="Times New Roman" w:cs="Times New Roman"/>
          <w:sz w:val="18"/>
          <w:szCs w:val="18"/>
        </w:rPr>
      </w:pPr>
      <w:r>
        <w:rPr>
          <w:rFonts w:ascii="Times New Roman" w:eastAsia="Times New Roman" w:hAnsi="Times New Roman" w:cs="Times New Roman"/>
          <w:sz w:val="18"/>
          <w:szCs w:val="18"/>
        </w:rPr>
        <w:t>Sectional Study. British Medical Journal Open, 4, E006076.</w:t>
      </w:r>
    </w:p>
    <w:p w14:paraId="000001AF" w14:textId="77777777" w:rsidR="00E73A2B" w:rsidRDefault="00E73A2B">
      <w:pPr>
        <w:spacing w:line="37" w:lineRule="auto"/>
        <w:rPr>
          <w:rFonts w:ascii="Arial" w:eastAsia="Arial" w:hAnsi="Arial"/>
          <w:sz w:val="24"/>
          <w:szCs w:val="24"/>
          <w:vertAlign w:val="superscript"/>
        </w:rPr>
      </w:pPr>
    </w:p>
    <w:p w14:paraId="000001B0" w14:textId="77777777" w:rsidR="00E73A2B" w:rsidRDefault="00A25CF8">
      <w:pPr>
        <w:numPr>
          <w:ilvl w:val="0"/>
          <w:numId w:val="16"/>
        </w:numPr>
        <w:tabs>
          <w:tab w:val="left" w:pos="260"/>
        </w:tabs>
        <w:ind w:left="260" w:hanging="260"/>
        <w:rPr>
          <w:rFonts w:ascii="Arial" w:eastAsia="Arial" w:hAnsi="Arial"/>
          <w:sz w:val="23"/>
          <w:szCs w:val="23"/>
          <w:vertAlign w:val="superscript"/>
        </w:rPr>
      </w:pPr>
      <w:r w:rsidRPr="00A25CF8">
        <w:rPr>
          <w:rFonts w:ascii="Times New Roman" w:eastAsia="Times New Roman" w:hAnsi="Times New Roman" w:cs="Times New Roman"/>
          <w:sz w:val="16"/>
          <w:szCs w:val="16"/>
          <w:lang w:val="es-CL"/>
        </w:rPr>
        <w:t xml:space="preserve">Dzhambov A.M., Dimitrova, D.D. &amp; Dimitrakova, E.D. 2014. </w:t>
      </w:r>
      <w:r>
        <w:rPr>
          <w:rFonts w:ascii="Times New Roman" w:eastAsia="Times New Roman" w:hAnsi="Times New Roman" w:cs="Times New Roman"/>
          <w:sz w:val="16"/>
          <w:szCs w:val="16"/>
        </w:rPr>
        <w:t>Association Between Residential Greenness And Birth</w:t>
      </w:r>
    </w:p>
    <w:p w14:paraId="000001B1" w14:textId="77777777" w:rsidR="00E73A2B" w:rsidRDefault="00E73A2B">
      <w:pPr>
        <w:spacing w:line="22" w:lineRule="auto"/>
        <w:rPr>
          <w:rFonts w:ascii="Arial" w:eastAsia="Arial" w:hAnsi="Arial"/>
          <w:sz w:val="23"/>
          <w:szCs w:val="23"/>
          <w:vertAlign w:val="superscript"/>
        </w:rPr>
      </w:pPr>
    </w:p>
    <w:p w14:paraId="000001B2" w14:textId="77777777" w:rsidR="00E73A2B" w:rsidRDefault="00A25CF8">
      <w:pPr>
        <w:spacing w:line="181" w:lineRule="auto"/>
        <w:ind w:left="280"/>
        <w:rPr>
          <w:rFonts w:ascii="MS PGothic" w:eastAsia="MS PGothic" w:hAnsi="MS PGothic" w:cs="MS PGothic"/>
          <w:sz w:val="18"/>
          <w:szCs w:val="18"/>
        </w:rPr>
      </w:pPr>
      <w:r>
        <w:rPr>
          <w:rFonts w:ascii="MS PGothic" w:eastAsia="MS PGothic" w:hAnsi="MS PGothic" w:cs="MS PGothic"/>
          <w:sz w:val="18"/>
          <w:szCs w:val="18"/>
        </w:rPr>
        <w:t>Weight: Systematic Review And Meta‐Analysis. Urban Forestry &amp; Urban Greening 13, 621‐629.</w:t>
      </w:r>
    </w:p>
    <w:p w14:paraId="000001B3" w14:textId="77777777" w:rsidR="00E73A2B" w:rsidRDefault="00E73A2B">
      <w:pPr>
        <w:spacing w:line="385" w:lineRule="auto"/>
        <w:rPr>
          <w:rFonts w:ascii="Times New Roman" w:eastAsia="Times New Roman" w:hAnsi="Times New Roman" w:cs="Times New Roman"/>
        </w:rPr>
      </w:pPr>
    </w:p>
    <w:tbl>
      <w:tblPr>
        <w:tblStyle w:val="afd"/>
        <w:tblW w:w="9360" w:type="dxa"/>
        <w:tblLayout w:type="fixed"/>
        <w:tblLook w:val="0000" w:firstRow="0" w:lastRow="0" w:firstColumn="0" w:lastColumn="0" w:noHBand="0" w:noVBand="0"/>
      </w:tblPr>
      <w:tblGrid>
        <w:gridCol w:w="5460"/>
        <w:gridCol w:w="3900"/>
      </w:tblGrid>
      <w:tr w:rsidR="00E73A2B" w14:paraId="1920031A" w14:textId="77777777">
        <w:trPr>
          <w:trHeight w:val="184"/>
        </w:trPr>
        <w:tc>
          <w:tcPr>
            <w:tcW w:w="5460" w:type="dxa"/>
            <w:shd w:val="clear" w:color="auto" w:fill="auto"/>
            <w:vAlign w:val="bottom"/>
          </w:tcPr>
          <w:p w14:paraId="000001B4" w14:textId="77777777" w:rsidR="00E73A2B" w:rsidRDefault="00A25CF8">
            <w:pPr>
              <w:rPr>
                <w:rFonts w:ascii="Arial" w:eastAsia="Arial" w:hAnsi="Arial"/>
                <w:sz w:val="16"/>
                <w:szCs w:val="16"/>
              </w:rPr>
            </w:pPr>
            <w:hyperlink w:anchor="bookmark=id.44sinio">
              <w:r>
                <w:rPr>
                  <w:rFonts w:ascii="Arial" w:eastAsia="Arial" w:hAnsi="Arial"/>
                  <w:sz w:val="16"/>
                  <w:szCs w:val="16"/>
                </w:rPr>
                <w:t>Chapter 8. Public Health</w:t>
              </w:r>
            </w:hyperlink>
          </w:p>
        </w:tc>
        <w:tc>
          <w:tcPr>
            <w:tcW w:w="3900" w:type="dxa"/>
            <w:shd w:val="clear" w:color="auto" w:fill="auto"/>
            <w:vAlign w:val="bottom"/>
          </w:tcPr>
          <w:p w14:paraId="000001B5" w14:textId="77777777" w:rsidR="00E73A2B" w:rsidRDefault="00A25CF8">
            <w:pPr>
              <w:jc w:val="right"/>
              <w:rPr>
                <w:rFonts w:ascii="Arial" w:eastAsia="Arial" w:hAnsi="Arial"/>
                <w:sz w:val="16"/>
                <w:szCs w:val="16"/>
              </w:rPr>
            </w:pPr>
            <w:r>
              <w:rPr>
                <w:rFonts w:ascii="Arial" w:eastAsia="Arial" w:hAnsi="Arial"/>
                <w:sz w:val="16"/>
                <w:szCs w:val="16"/>
              </w:rPr>
              <w:t>65</w:t>
            </w:r>
          </w:p>
        </w:tc>
      </w:tr>
    </w:tbl>
    <w:p w14:paraId="000001B6" w14:textId="77777777" w:rsidR="00E73A2B" w:rsidRDefault="00E73A2B">
      <w:pPr>
        <w:rPr>
          <w:rFonts w:ascii="Arial" w:eastAsia="Arial" w:hAnsi="Arial"/>
          <w:sz w:val="16"/>
          <w:szCs w:val="16"/>
        </w:rPr>
        <w:sectPr w:rsidR="00E73A2B">
          <w:pgSz w:w="12240" w:h="15840"/>
          <w:pgMar w:top="1440" w:right="1440" w:bottom="395" w:left="1440" w:header="0" w:footer="0" w:gutter="0"/>
          <w:cols w:space="720"/>
        </w:sectPr>
      </w:pPr>
    </w:p>
    <w:p w14:paraId="000001B7" w14:textId="77777777" w:rsidR="00E73A2B" w:rsidRDefault="00E73A2B">
      <w:pPr>
        <w:spacing w:line="14" w:lineRule="auto"/>
        <w:rPr>
          <w:rFonts w:ascii="Times New Roman" w:eastAsia="Times New Roman" w:hAnsi="Times New Roman" w:cs="Times New Roman"/>
        </w:rPr>
      </w:pPr>
      <w:bookmarkStart w:id="18" w:name="bookmark=id.26in1rg" w:colFirst="0" w:colLast="0"/>
      <w:bookmarkEnd w:id="18"/>
    </w:p>
    <w:p w14:paraId="000001B8" w14:textId="77777777" w:rsidR="00E73A2B" w:rsidRDefault="00A25CF8">
      <w:pPr>
        <w:spacing w:line="339" w:lineRule="auto"/>
        <w:ind w:right="280"/>
        <w:rPr>
          <w:rFonts w:ascii="Arial" w:eastAsia="Arial" w:hAnsi="Arial"/>
          <w:sz w:val="12"/>
          <w:szCs w:val="12"/>
        </w:rPr>
      </w:pPr>
      <w:r>
        <w:rPr>
          <w:rFonts w:ascii="Times New Roman" w:eastAsia="Times New Roman" w:hAnsi="Times New Roman" w:cs="Times New Roman"/>
          <w:sz w:val="22"/>
          <w:szCs w:val="22"/>
        </w:rPr>
        <w:t>surrounding areas by up to 1°C.</w:t>
      </w:r>
      <w:r>
        <w:rPr>
          <w:rFonts w:ascii="Arial" w:eastAsia="Arial" w:hAnsi="Arial"/>
          <w:sz w:val="12"/>
          <w:szCs w:val="12"/>
        </w:rPr>
        <w:t>130</w:t>
      </w:r>
      <w:r>
        <w:rPr>
          <w:rFonts w:ascii="Times New Roman" w:eastAsia="Times New Roman" w:hAnsi="Times New Roman" w:cs="Times New Roman"/>
          <w:sz w:val="27"/>
          <w:szCs w:val="27"/>
          <w:vertAlign w:val="superscript"/>
        </w:rPr>
        <w:t>,</w:t>
      </w:r>
      <w:r>
        <w:rPr>
          <w:rFonts w:ascii="Arial" w:eastAsia="Arial" w:hAnsi="Arial"/>
          <w:sz w:val="12"/>
          <w:szCs w:val="12"/>
        </w:rPr>
        <w:t>131</w:t>
      </w:r>
      <w:r>
        <w:rPr>
          <w:rFonts w:ascii="Times New Roman" w:eastAsia="Times New Roman" w:hAnsi="Times New Roman" w:cs="Times New Roman"/>
          <w:sz w:val="22"/>
          <w:szCs w:val="22"/>
        </w:rPr>
        <w:t xml:space="preserve"> Disadvantaged Communities can have less access to green space, and poverty is associated with greater distances to parks.</w:t>
      </w:r>
      <w:r>
        <w:rPr>
          <w:rFonts w:ascii="Arial" w:eastAsia="Arial" w:hAnsi="Arial"/>
          <w:sz w:val="12"/>
          <w:szCs w:val="12"/>
        </w:rPr>
        <w:t>132</w:t>
      </w:r>
      <w:r>
        <w:rPr>
          <w:rFonts w:ascii="Times New Roman" w:eastAsia="Times New Roman" w:hAnsi="Times New Roman" w:cs="Times New Roman"/>
          <w:sz w:val="22"/>
          <w:szCs w:val="22"/>
        </w:rPr>
        <w:t xml:space="preserve"> To reduce inequality, the New York State Department of Agriculture and Markets (AGM) and DEC have provided grants to support commu</w:t>
      </w:r>
      <w:r>
        <w:rPr>
          <w:rFonts w:ascii="Times New Roman" w:eastAsia="Times New Roman" w:hAnsi="Times New Roman" w:cs="Times New Roman"/>
          <w:sz w:val="22"/>
          <w:szCs w:val="22"/>
        </w:rPr>
        <w:t>nity gardens in urban areas, and more can be done to bring accessible green space to Disadvantaged Communities.</w:t>
      </w:r>
      <w:r>
        <w:rPr>
          <w:rFonts w:ascii="Arial" w:eastAsia="Arial" w:hAnsi="Arial"/>
          <w:sz w:val="12"/>
          <w:szCs w:val="12"/>
        </w:rPr>
        <w:t>133</w:t>
      </w:r>
      <w:r>
        <w:rPr>
          <w:rFonts w:ascii="Times New Roman" w:eastAsia="Times New Roman" w:hAnsi="Times New Roman" w:cs="Times New Roman"/>
          <w:sz w:val="27"/>
          <w:szCs w:val="27"/>
          <w:vertAlign w:val="superscript"/>
        </w:rPr>
        <w:t>,</w:t>
      </w:r>
      <w:r>
        <w:rPr>
          <w:rFonts w:ascii="Arial" w:eastAsia="Arial" w:hAnsi="Arial"/>
          <w:sz w:val="12"/>
          <w:szCs w:val="12"/>
        </w:rPr>
        <w:t>134</w:t>
      </w:r>
    </w:p>
    <w:p w14:paraId="000001B9" w14:textId="77777777" w:rsidR="00E73A2B" w:rsidRDefault="00E73A2B">
      <w:pPr>
        <w:spacing w:line="304" w:lineRule="auto"/>
        <w:rPr>
          <w:rFonts w:ascii="Times New Roman" w:eastAsia="Times New Roman" w:hAnsi="Times New Roman" w:cs="Times New Roman"/>
        </w:rPr>
      </w:pPr>
    </w:p>
    <w:p w14:paraId="000001BA" w14:textId="77777777" w:rsidR="00E73A2B" w:rsidRDefault="00A25CF8">
      <w:pPr>
        <w:rPr>
          <w:rFonts w:ascii="Arial" w:eastAsia="Arial" w:hAnsi="Arial"/>
          <w:b/>
          <w:sz w:val="22"/>
          <w:szCs w:val="22"/>
        </w:rPr>
      </w:pPr>
      <w:r>
        <w:rPr>
          <w:rFonts w:ascii="Arial" w:eastAsia="Arial" w:hAnsi="Arial"/>
          <w:b/>
          <w:sz w:val="22"/>
          <w:szCs w:val="22"/>
        </w:rPr>
        <w:t>Housing/Residential Built Environment</w:t>
      </w:r>
    </w:p>
    <w:p w14:paraId="000001BB" w14:textId="77777777" w:rsidR="00E73A2B" w:rsidRDefault="00E73A2B">
      <w:pPr>
        <w:spacing w:line="258" w:lineRule="auto"/>
        <w:rPr>
          <w:rFonts w:ascii="Times New Roman" w:eastAsia="Times New Roman" w:hAnsi="Times New Roman" w:cs="Times New Roman"/>
        </w:rPr>
      </w:pPr>
    </w:p>
    <w:p w14:paraId="000001BC" w14:textId="77777777" w:rsidR="00E73A2B" w:rsidRDefault="00A25CF8">
      <w:pPr>
        <w:spacing w:line="356" w:lineRule="auto"/>
        <w:ind w:right="200"/>
        <w:rPr>
          <w:rFonts w:ascii="Times New Roman" w:eastAsia="Times New Roman" w:hAnsi="Times New Roman" w:cs="Times New Roman"/>
          <w:sz w:val="22"/>
          <w:szCs w:val="22"/>
        </w:rPr>
      </w:pPr>
      <w:r>
        <w:rPr>
          <w:rFonts w:ascii="Times New Roman" w:eastAsia="Times New Roman" w:hAnsi="Times New Roman" w:cs="Times New Roman"/>
          <w:sz w:val="22"/>
          <w:szCs w:val="22"/>
        </w:rPr>
        <w:t>Building energy efficiency measures provide significant energy savings and health benefits. These include the basic benefits of affordably maintaining a comfortable living and working environment, preventing hypo- and hyperthermia, and combatting fuel pove</w:t>
      </w:r>
      <w:r>
        <w:rPr>
          <w:rFonts w:ascii="Times New Roman" w:eastAsia="Times New Roman" w:hAnsi="Times New Roman" w:cs="Times New Roman"/>
          <w:sz w:val="22"/>
          <w:szCs w:val="22"/>
        </w:rPr>
        <w:t>rty (facing the choice between heating the home or feeding the family).</w:t>
      </w:r>
    </w:p>
    <w:p w14:paraId="000001BD" w14:textId="77777777" w:rsidR="00E73A2B" w:rsidRDefault="00E73A2B">
      <w:pPr>
        <w:spacing w:line="376" w:lineRule="auto"/>
        <w:rPr>
          <w:rFonts w:ascii="Times New Roman" w:eastAsia="Times New Roman" w:hAnsi="Times New Roman" w:cs="Times New Roman"/>
        </w:rPr>
      </w:pPr>
    </w:p>
    <w:p w14:paraId="000001BE" w14:textId="77777777" w:rsidR="00E73A2B" w:rsidRDefault="00A25CF8">
      <w:pPr>
        <w:spacing w:line="358" w:lineRule="auto"/>
        <w:ind w:right="40"/>
        <w:rPr>
          <w:rFonts w:ascii="Times New Roman" w:eastAsia="Times New Roman" w:hAnsi="Times New Roman" w:cs="Times New Roman"/>
          <w:sz w:val="22"/>
          <w:szCs w:val="22"/>
        </w:rPr>
      </w:pPr>
      <w:r>
        <w:rPr>
          <w:rFonts w:ascii="Times New Roman" w:eastAsia="Times New Roman" w:hAnsi="Times New Roman" w:cs="Times New Roman"/>
          <w:sz w:val="22"/>
          <w:szCs w:val="22"/>
        </w:rPr>
        <w:t>Tight insulation in residential buildings without ensuring appropriate ventilation, filtration, and/or inadequate weatherproofing can negatively impact indoor air quality. Disadvantag</w:t>
      </w:r>
      <w:r>
        <w:rPr>
          <w:rFonts w:ascii="Times New Roman" w:eastAsia="Times New Roman" w:hAnsi="Times New Roman" w:cs="Times New Roman"/>
          <w:sz w:val="22"/>
          <w:szCs w:val="22"/>
        </w:rPr>
        <w:t xml:space="preserve">ed Communities, in particular, experience these issues, which can worsen health disparities. The New York Building Code and Property Maintenance Code designates minimum air ventilation rates for new and existing buildings. Inadequate ventilation increases </w:t>
      </w:r>
      <w:r>
        <w:rPr>
          <w:rFonts w:ascii="Times New Roman" w:eastAsia="Times New Roman" w:hAnsi="Times New Roman" w:cs="Times New Roman"/>
          <w:sz w:val="22"/>
          <w:szCs w:val="22"/>
        </w:rPr>
        <w:t>exposure to air contaminants such as VOCs (including those from consumer care products and off-gassing from building materials), radon gas, dust, allergens, mold, carbon monoxide, and CO</w:t>
      </w:r>
      <w:r>
        <w:rPr>
          <w:rFonts w:ascii="Times New Roman" w:eastAsia="Times New Roman" w:hAnsi="Times New Roman" w:cs="Times New Roman"/>
          <w:sz w:val="13"/>
          <w:szCs w:val="13"/>
        </w:rPr>
        <w:t>2</w:t>
      </w:r>
      <w:r>
        <w:rPr>
          <w:rFonts w:ascii="Times New Roman" w:eastAsia="Times New Roman" w:hAnsi="Times New Roman" w:cs="Times New Roman"/>
          <w:sz w:val="22"/>
          <w:szCs w:val="22"/>
        </w:rPr>
        <w:t>.</w:t>
      </w:r>
    </w:p>
    <w:p w14:paraId="000001BF" w14:textId="77777777" w:rsidR="00E73A2B" w:rsidRDefault="00E73A2B">
      <w:pPr>
        <w:spacing w:line="376" w:lineRule="auto"/>
        <w:rPr>
          <w:rFonts w:ascii="Times New Roman" w:eastAsia="Times New Roman" w:hAnsi="Times New Roman" w:cs="Times New Roman"/>
        </w:rPr>
      </w:pPr>
    </w:p>
    <w:p w14:paraId="000001C0" w14:textId="77777777" w:rsidR="00E73A2B" w:rsidRDefault="00A25CF8">
      <w:pPr>
        <w:spacing w:line="357" w:lineRule="auto"/>
        <w:ind w:right="10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NYSERDA has programs to use industry-accrediting organizations to </w:t>
      </w:r>
      <w:r>
        <w:rPr>
          <w:rFonts w:ascii="Times New Roman" w:eastAsia="Times New Roman" w:hAnsi="Times New Roman" w:cs="Times New Roman"/>
          <w:sz w:val="22"/>
          <w:szCs w:val="22"/>
        </w:rPr>
        <w:t>set standards and best practices for conducting energy efficiency upgrades. Program requirements concerning source removal, ventilation systems, minimum ventilation rates, and proper sizing and installing of HVAC systems help avoid and alleviate indoor air</w:t>
      </w:r>
      <w:r>
        <w:rPr>
          <w:rFonts w:ascii="Times New Roman" w:eastAsia="Times New Roman" w:hAnsi="Times New Roman" w:cs="Times New Roman"/>
          <w:sz w:val="22"/>
          <w:szCs w:val="22"/>
        </w:rPr>
        <w:t xml:space="preserve"> quality problems in existing buildings and the associated health effects. NYSERDA also strives to support advanced sustainability standards and tools by partnering with organizations like</w:t>
      </w:r>
    </w:p>
    <w:p w14:paraId="000001C1" w14:textId="77777777" w:rsidR="00E73A2B" w:rsidRDefault="00A25CF8">
      <w:pPr>
        <w:spacing w:line="20" w:lineRule="auto"/>
        <w:rPr>
          <w:rFonts w:ascii="Times New Roman" w:eastAsia="Times New Roman" w:hAnsi="Times New Roman" w:cs="Times New Roman"/>
        </w:rPr>
      </w:pPr>
      <w:r>
        <w:rPr>
          <w:noProof/>
        </w:rPr>
        <mc:AlternateContent>
          <mc:Choice Requires="wpg">
            <w:drawing>
              <wp:anchor distT="0" distB="0" distL="0" distR="0" simplePos="0" relativeHeight="251671552" behindDoc="1" locked="0" layoutInCell="1" hidden="0" allowOverlap="1">
                <wp:simplePos x="0" y="0"/>
                <wp:positionH relativeFrom="column">
                  <wp:posOffset>0</wp:posOffset>
                </wp:positionH>
                <wp:positionV relativeFrom="paragraph">
                  <wp:posOffset>342900</wp:posOffset>
                </wp:positionV>
                <wp:extent cx="1838325" cy="22225"/>
                <wp:effectExtent l="0" t="0" r="0" b="0"/>
                <wp:wrapNone/>
                <wp:docPr id="34" name=""/>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342900</wp:posOffset>
                </wp:positionV>
                <wp:extent cx="1838325" cy="22225"/>
                <wp:effectExtent b="0" l="0" r="0" t="0"/>
                <wp:wrapNone/>
                <wp:docPr id="34" name="image2.png"/>
                <a:graphic>
                  <a:graphicData uri="http://schemas.openxmlformats.org/drawingml/2006/picture">
                    <pic:pic>
                      <pic:nvPicPr>
                        <pic:cNvPr id="0" name="image2.png"/>
                        <pic:cNvPicPr preferRelativeResize="0"/>
                      </pic:nvPicPr>
                      <pic:blipFill>
                        <a:blip r:embed="rId28"/>
                        <a:srcRect/>
                        <a:stretch>
                          <a:fillRect/>
                        </a:stretch>
                      </pic:blipFill>
                      <pic:spPr>
                        <a:xfrm>
                          <a:off x="0" y="0"/>
                          <a:ext cx="1838325" cy="22225"/>
                        </a:xfrm>
                        <a:prstGeom prst="rect"/>
                        <a:ln/>
                      </pic:spPr>
                    </pic:pic>
                  </a:graphicData>
                </a:graphic>
              </wp:anchor>
            </w:drawing>
          </mc:Fallback>
        </mc:AlternateContent>
      </w:r>
    </w:p>
    <w:p w14:paraId="000001C2" w14:textId="77777777" w:rsidR="00E73A2B" w:rsidRDefault="00E73A2B">
      <w:pPr>
        <w:spacing w:line="200" w:lineRule="auto"/>
        <w:rPr>
          <w:rFonts w:ascii="Times New Roman" w:eastAsia="Times New Roman" w:hAnsi="Times New Roman" w:cs="Times New Roman"/>
        </w:rPr>
      </w:pPr>
    </w:p>
    <w:p w14:paraId="000001C3" w14:textId="77777777" w:rsidR="00E73A2B" w:rsidRDefault="00E73A2B">
      <w:pPr>
        <w:spacing w:line="200" w:lineRule="auto"/>
        <w:rPr>
          <w:rFonts w:ascii="Times New Roman" w:eastAsia="Times New Roman" w:hAnsi="Times New Roman" w:cs="Times New Roman"/>
        </w:rPr>
      </w:pPr>
    </w:p>
    <w:p w14:paraId="000001C4" w14:textId="77777777" w:rsidR="00E73A2B" w:rsidRDefault="00E73A2B">
      <w:pPr>
        <w:spacing w:line="200" w:lineRule="auto"/>
        <w:rPr>
          <w:rFonts w:ascii="Times New Roman" w:eastAsia="Times New Roman" w:hAnsi="Times New Roman" w:cs="Times New Roman"/>
        </w:rPr>
      </w:pPr>
    </w:p>
    <w:p w14:paraId="000001C5" w14:textId="77777777" w:rsidR="00E73A2B" w:rsidRDefault="00E73A2B">
      <w:pPr>
        <w:rPr>
          <w:rFonts w:ascii="Times New Roman" w:eastAsia="Times New Roman" w:hAnsi="Times New Roman" w:cs="Times New Roman"/>
        </w:rPr>
      </w:pPr>
    </w:p>
    <w:p w14:paraId="000001C6" w14:textId="77777777" w:rsidR="00E73A2B" w:rsidRDefault="00A25CF8">
      <w:pPr>
        <w:numPr>
          <w:ilvl w:val="0"/>
          <w:numId w:val="17"/>
        </w:numPr>
        <w:tabs>
          <w:tab w:val="left" w:pos="270"/>
        </w:tabs>
        <w:spacing w:line="206" w:lineRule="auto"/>
        <w:ind w:left="280" w:right="740" w:hanging="280"/>
        <w:rPr>
          <w:rFonts w:ascii="Arial" w:eastAsia="Arial" w:hAnsi="Arial"/>
          <w:sz w:val="24"/>
          <w:szCs w:val="24"/>
          <w:vertAlign w:val="superscript"/>
        </w:rPr>
      </w:pPr>
      <w:r>
        <w:rPr>
          <w:rFonts w:ascii="MS PGothic" w:eastAsia="MS PGothic" w:hAnsi="MS PGothic" w:cs="MS PGothic"/>
          <w:sz w:val="17"/>
          <w:szCs w:val="17"/>
        </w:rPr>
        <w:t>Bowler, D. E., Buyung‐Ali, L., Knight, T. M. &amp; Pullin, A. S. 2010a. Urban Greening To Cool Towns And Cit</w:t>
      </w:r>
      <w:r>
        <w:rPr>
          <w:rFonts w:ascii="Times New Roman" w:eastAsia="Times New Roman" w:hAnsi="Times New Roman" w:cs="Times New Roman"/>
          <w:sz w:val="17"/>
          <w:szCs w:val="17"/>
        </w:rPr>
        <w:t xml:space="preserve">ies: A </w:t>
      </w:r>
      <w:r>
        <w:rPr>
          <w:rFonts w:ascii="MS PGothic" w:eastAsia="MS PGothic" w:hAnsi="MS PGothic" w:cs="MS PGothic"/>
          <w:sz w:val="17"/>
          <w:szCs w:val="17"/>
        </w:rPr>
        <w:t>Systematic Review Of The Empirical Evidence. Landscape And Urban Planning, 97, 147‐155.</w:t>
      </w:r>
    </w:p>
    <w:p w14:paraId="000001C7" w14:textId="77777777" w:rsidR="00E73A2B" w:rsidRDefault="00E73A2B">
      <w:pPr>
        <w:spacing w:line="106" w:lineRule="auto"/>
        <w:rPr>
          <w:rFonts w:ascii="Arial" w:eastAsia="Arial" w:hAnsi="Arial"/>
          <w:sz w:val="24"/>
          <w:szCs w:val="24"/>
          <w:vertAlign w:val="superscript"/>
        </w:rPr>
      </w:pPr>
    </w:p>
    <w:p w14:paraId="000001C8" w14:textId="77777777" w:rsidR="00E73A2B" w:rsidRDefault="00A25CF8">
      <w:pPr>
        <w:numPr>
          <w:ilvl w:val="0"/>
          <w:numId w:val="17"/>
        </w:numPr>
        <w:tabs>
          <w:tab w:val="left" w:pos="270"/>
        </w:tabs>
        <w:spacing w:line="205" w:lineRule="auto"/>
        <w:ind w:left="280" w:right="180" w:hanging="280"/>
        <w:rPr>
          <w:rFonts w:ascii="Arial" w:eastAsia="Arial" w:hAnsi="Arial"/>
          <w:sz w:val="24"/>
          <w:szCs w:val="24"/>
          <w:vertAlign w:val="superscript"/>
        </w:rPr>
      </w:pPr>
      <w:r w:rsidRPr="00A25CF8">
        <w:rPr>
          <w:rFonts w:ascii="MS PGothic" w:eastAsia="MS PGothic" w:hAnsi="MS PGothic" w:cs="MS PGothic"/>
          <w:sz w:val="17"/>
          <w:szCs w:val="17"/>
          <w:lang w:val="es-CL"/>
        </w:rPr>
        <w:t>Lafortezza, R., Carrus, G., Sanesi, G. &amp; Davies, C. 2009</w:t>
      </w:r>
      <w:r w:rsidRPr="00A25CF8">
        <w:rPr>
          <w:rFonts w:ascii="MS PGothic" w:eastAsia="MS PGothic" w:hAnsi="MS PGothic" w:cs="MS PGothic"/>
          <w:sz w:val="17"/>
          <w:szCs w:val="17"/>
          <w:lang w:val="es-CL"/>
        </w:rPr>
        <w:t xml:space="preserve">. </w:t>
      </w:r>
      <w:r>
        <w:rPr>
          <w:rFonts w:ascii="MS PGothic" w:eastAsia="MS PGothic" w:hAnsi="MS PGothic" w:cs="MS PGothic"/>
          <w:sz w:val="17"/>
          <w:szCs w:val="17"/>
        </w:rPr>
        <w:t xml:space="preserve">Benefits and well‐being perceived by people visiting green spaces </w:t>
      </w:r>
      <w:r>
        <w:rPr>
          <w:rFonts w:ascii="Times New Roman" w:eastAsia="Times New Roman" w:hAnsi="Times New Roman" w:cs="Times New Roman"/>
          <w:sz w:val="17"/>
          <w:szCs w:val="17"/>
        </w:rPr>
        <w:t>in periods of heat stress. Urban Fo</w:t>
      </w:r>
      <w:r>
        <w:rPr>
          <w:rFonts w:ascii="MS PGothic" w:eastAsia="MS PGothic" w:hAnsi="MS PGothic" w:cs="MS PGothic"/>
          <w:sz w:val="17"/>
          <w:szCs w:val="17"/>
        </w:rPr>
        <w:t>restry &amp; Urban Greening, 8, 97‐108.</w:t>
      </w:r>
    </w:p>
    <w:p w14:paraId="000001C9" w14:textId="77777777" w:rsidR="00E73A2B" w:rsidRDefault="00E73A2B">
      <w:pPr>
        <w:spacing w:line="109" w:lineRule="auto"/>
        <w:rPr>
          <w:rFonts w:ascii="Arial" w:eastAsia="Arial" w:hAnsi="Arial"/>
          <w:sz w:val="24"/>
          <w:szCs w:val="24"/>
          <w:vertAlign w:val="superscript"/>
        </w:rPr>
      </w:pPr>
    </w:p>
    <w:p w14:paraId="000001CA" w14:textId="77777777" w:rsidR="00E73A2B" w:rsidRDefault="00A25CF8">
      <w:pPr>
        <w:numPr>
          <w:ilvl w:val="0"/>
          <w:numId w:val="17"/>
        </w:numPr>
        <w:tabs>
          <w:tab w:val="left" w:pos="270"/>
        </w:tabs>
        <w:spacing w:line="358" w:lineRule="auto"/>
        <w:ind w:left="280" w:right="160" w:hanging="280"/>
        <w:rPr>
          <w:rFonts w:ascii="Arial" w:eastAsia="Arial" w:hAnsi="Arial"/>
          <w:sz w:val="24"/>
          <w:szCs w:val="24"/>
          <w:vertAlign w:val="superscript"/>
        </w:rPr>
      </w:pPr>
      <w:r>
        <w:rPr>
          <w:rFonts w:ascii="Times New Roman" w:eastAsia="Times New Roman" w:hAnsi="Times New Roman" w:cs="Times New Roman"/>
          <w:sz w:val="17"/>
          <w:szCs w:val="17"/>
        </w:rPr>
        <w:t>Wen M, Zhang X, Harris CD, Holt JB, Croft JB. Spatial disparities in the distribution of parks and green spaces in the USA. Ann Behav Med. 2013 Feb;45 Suppl 1(Suppl 1):S18-27. doi: 10.1007/s12160-012-9426-x. PMID: 23334758; PMCID: PMC3590901.</w:t>
      </w:r>
    </w:p>
    <w:p w14:paraId="000001CB" w14:textId="77777777" w:rsidR="00E73A2B" w:rsidRDefault="00E73A2B">
      <w:pPr>
        <w:spacing w:line="19" w:lineRule="auto"/>
        <w:rPr>
          <w:rFonts w:ascii="Arial" w:eastAsia="Arial" w:hAnsi="Arial"/>
          <w:sz w:val="24"/>
          <w:szCs w:val="24"/>
          <w:vertAlign w:val="superscript"/>
        </w:rPr>
      </w:pPr>
    </w:p>
    <w:p w14:paraId="000001CC" w14:textId="77777777" w:rsidR="00E73A2B" w:rsidRDefault="00A25CF8">
      <w:pPr>
        <w:numPr>
          <w:ilvl w:val="0"/>
          <w:numId w:val="17"/>
        </w:numPr>
        <w:tabs>
          <w:tab w:val="left" w:pos="270"/>
        </w:tabs>
        <w:spacing w:line="205" w:lineRule="auto"/>
        <w:ind w:left="280" w:right="100" w:hanging="280"/>
        <w:rPr>
          <w:rFonts w:ascii="Arial" w:eastAsia="Arial" w:hAnsi="Arial"/>
          <w:sz w:val="24"/>
          <w:szCs w:val="24"/>
          <w:vertAlign w:val="superscript"/>
        </w:rPr>
      </w:pPr>
      <w:r>
        <w:rPr>
          <w:rFonts w:ascii="Times New Roman" w:eastAsia="Times New Roman" w:hAnsi="Times New Roman" w:cs="Times New Roman"/>
          <w:sz w:val="17"/>
          <w:szCs w:val="17"/>
        </w:rPr>
        <w:t xml:space="preserve">AGM, </w:t>
      </w:r>
      <w:r>
        <w:rPr>
          <w:rFonts w:ascii="MS PGothic" w:eastAsia="MS PGothic" w:hAnsi="MS PGothic" w:cs="MS PGothic"/>
          <w:sz w:val="17"/>
          <w:szCs w:val="17"/>
        </w:rPr>
        <w:t>“Commun</w:t>
      </w:r>
      <w:r>
        <w:rPr>
          <w:rFonts w:ascii="MS PGothic" w:eastAsia="MS PGothic" w:hAnsi="MS PGothic" w:cs="MS PGothic"/>
          <w:sz w:val="17"/>
          <w:szCs w:val="17"/>
        </w:rPr>
        <w:t>ity Gardens and Urban Agriculture,” Accessed at https://agriculture.ny.gov/community</w:t>
      </w:r>
      <w:r>
        <w:rPr>
          <w:rFonts w:ascii="Times New Roman" w:eastAsia="Times New Roman" w:hAnsi="Times New Roman" w:cs="Times New Roman"/>
          <w:sz w:val="17"/>
          <w:szCs w:val="17"/>
        </w:rPr>
        <w:t>-gardens-and-urban-agriculture.</w:t>
      </w:r>
    </w:p>
    <w:p w14:paraId="000001CD" w14:textId="77777777" w:rsidR="00E73A2B" w:rsidRDefault="00E73A2B">
      <w:pPr>
        <w:spacing w:line="42" w:lineRule="auto"/>
        <w:rPr>
          <w:rFonts w:ascii="Arial" w:eastAsia="Arial" w:hAnsi="Arial"/>
          <w:sz w:val="24"/>
          <w:szCs w:val="24"/>
          <w:vertAlign w:val="superscript"/>
        </w:rPr>
      </w:pPr>
    </w:p>
    <w:p w14:paraId="000001CE" w14:textId="77777777" w:rsidR="00E73A2B" w:rsidRDefault="00A25CF8">
      <w:pPr>
        <w:numPr>
          <w:ilvl w:val="0"/>
          <w:numId w:val="17"/>
        </w:numPr>
        <w:tabs>
          <w:tab w:val="left" w:pos="260"/>
        </w:tabs>
        <w:spacing w:line="265" w:lineRule="auto"/>
        <w:ind w:left="260" w:hanging="260"/>
        <w:rPr>
          <w:rFonts w:ascii="Arial" w:eastAsia="Arial" w:hAnsi="Arial"/>
          <w:sz w:val="23"/>
          <w:szCs w:val="23"/>
          <w:vertAlign w:val="superscript"/>
        </w:rPr>
      </w:pPr>
      <w:r>
        <w:rPr>
          <w:rFonts w:ascii="Times New Roman" w:eastAsia="Times New Roman" w:hAnsi="Times New Roman" w:cs="Times New Roman"/>
          <w:sz w:val="16"/>
          <w:szCs w:val="16"/>
        </w:rPr>
        <w:t xml:space="preserve">DEC, </w:t>
      </w:r>
      <w:r>
        <w:rPr>
          <w:rFonts w:ascii="MS PGothic" w:eastAsia="MS PGothic" w:hAnsi="MS PGothic" w:cs="MS PGothic"/>
          <w:sz w:val="16"/>
          <w:szCs w:val="16"/>
        </w:rPr>
        <w:t>“Environmental Justice Grant Programs,” Accessed at https://www.dec.ny.gov/public/31226.html.</w:t>
      </w:r>
    </w:p>
    <w:p w14:paraId="000001CF" w14:textId="77777777" w:rsidR="00E73A2B" w:rsidRDefault="00E73A2B">
      <w:pPr>
        <w:spacing w:line="379" w:lineRule="auto"/>
        <w:rPr>
          <w:rFonts w:ascii="Times New Roman" w:eastAsia="Times New Roman" w:hAnsi="Times New Roman" w:cs="Times New Roman"/>
        </w:rPr>
      </w:pPr>
    </w:p>
    <w:tbl>
      <w:tblPr>
        <w:tblStyle w:val="afe"/>
        <w:tblW w:w="9360" w:type="dxa"/>
        <w:tblLayout w:type="fixed"/>
        <w:tblLook w:val="0000" w:firstRow="0" w:lastRow="0" w:firstColumn="0" w:lastColumn="0" w:noHBand="0" w:noVBand="0"/>
      </w:tblPr>
      <w:tblGrid>
        <w:gridCol w:w="5460"/>
        <w:gridCol w:w="3900"/>
      </w:tblGrid>
      <w:tr w:rsidR="00E73A2B" w14:paraId="7C23C14D" w14:textId="77777777">
        <w:trPr>
          <w:trHeight w:val="184"/>
        </w:trPr>
        <w:tc>
          <w:tcPr>
            <w:tcW w:w="5460" w:type="dxa"/>
            <w:shd w:val="clear" w:color="auto" w:fill="auto"/>
            <w:vAlign w:val="bottom"/>
          </w:tcPr>
          <w:p w14:paraId="000001D0" w14:textId="77777777" w:rsidR="00E73A2B" w:rsidRDefault="00A25CF8">
            <w:pPr>
              <w:rPr>
                <w:rFonts w:ascii="Arial" w:eastAsia="Arial" w:hAnsi="Arial"/>
                <w:sz w:val="16"/>
                <w:szCs w:val="16"/>
              </w:rPr>
            </w:pPr>
            <w:hyperlink w:anchor="bookmark=id.44sinio">
              <w:r>
                <w:rPr>
                  <w:rFonts w:ascii="Arial" w:eastAsia="Arial" w:hAnsi="Arial"/>
                  <w:sz w:val="16"/>
                  <w:szCs w:val="16"/>
                </w:rPr>
                <w:t>Chapter 8. Public Health</w:t>
              </w:r>
            </w:hyperlink>
          </w:p>
        </w:tc>
        <w:tc>
          <w:tcPr>
            <w:tcW w:w="3900" w:type="dxa"/>
            <w:shd w:val="clear" w:color="auto" w:fill="auto"/>
            <w:vAlign w:val="bottom"/>
          </w:tcPr>
          <w:p w14:paraId="000001D1" w14:textId="77777777" w:rsidR="00E73A2B" w:rsidRDefault="00A25CF8">
            <w:pPr>
              <w:jc w:val="right"/>
              <w:rPr>
                <w:rFonts w:ascii="Arial" w:eastAsia="Arial" w:hAnsi="Arial"/>
                <w:sz w:val="16"/>
                <w:szCs w:val="16"/>
              </w:rPr>
            </w:pPr>
            <w:r>
              <w:rPr>
                <w:rFonts w:ascii="Arial" w:eastAsia="Arial" w:hAnsi="Arial"/>
                <w:sz w:val="16"/>
                <w:szCs w:val="16"/>
              </w:rPr>
              <w:t>66</w:t>
            </w:r>
          </w:p>
        </w:tc>
      </w:tr>
    </w:tbl>
    <w:p w14:paraId="000001D2" w14:textId="77777777" w:rsidR="00E73A2B" w:rsidRDefault="00E73A2B">
      <w:pPr>
        <w:rPr>
          <w:rFonts w:ascii="Arial" w:eastAsia="Arial" w:hAnsi="Arial"/>
          <w:sz w:val="16"/>
          <w:szCs w:val="16"/>
        </w:rPr>
        <w:sectPr w:rsidR="00E73A2B">
          <w:pgSz w:w="12240" w:h="15840"/>
          <w:pgMar w:top="1440" w:right="1440" w:bottom="395" w:left="1440" w:header="0" w:footer="0" w:gutter="0"/>
          <w:cols w:space="720"/>
        </w:sectPr>
      </w:pPr>
    </w:p>
    <w:p w14:paraId="000001D3" w14:textId="77777777" w:rsidR="00E73A2B" w:rsidRDefault="00A25CF8">
      <w:pPr>
        <w:rPr>
          <w:rFonts w:ascii="Times New Roman" w:eastAsia="Times New Roman" w:hAnsi="Times New Roman" w:cs="Times New Roman"/>
          <w:sz w:val="22"/>
          <w:szCs w:val="22"/>
        </w:rPr>
      </w:pPr>
      <w:bookmarkStart w:id="19" w:name="bookmark=id.lnxbz9" w:colFirst="0" w:colLast="0"/>
      <w:bookmarkEnd w:id="19"/>
      <w:r>
        <w:rPr>
          <w:rFonts w:ascii="Times New Roman" w:eastAsia="Times New Roman" w:hAnsi="Times New Roman" w:cs="Times New Roman"/>
          <w:sz w:val="22"/>
          <w:szCs w:val="22"/>
        </w:rPr>
        <w:t>the Collaborative for High Performance Schools, the U.S. Department of Energy, the EPA, and the U.S.</w:t>
      </w:r>
    </w:p>
    <w:p w14:paraId="000001D4" w14:textId="77777777" w:rsidR="00E73A2B" w:rsidRDefault="00E73A2B">
      <w:pPr>
        <w:spacing w:line="127" w:lineRule="auto"/>
        <w:rPr>
          <w:rFonts w:ascii="Times New Roman" w:eastAsia="Times New Roman" w:hAnsi="Times New Roman" w:cs="Times New Roman"/>
        </w:rPr>
      </w:pPr>
    </w:p>
    <w:p w14:paraId="000001D5" w14:textId="77777777" w:rsidR="00E73A2B" w:rsidRDefault="00A25CF8">
      <w:pPr>
        <w:rPr>
          <w:rFonts w:ascii="Times New Roman" w:eastAsia="Times New Roman" w:hAnsi="Times New Roman" w:cs="Times New Roman"/>
          <w:sz w:val="22"/>
          <w:szCs w:val="22"/>
        </w:rPr>
      </w:pPr>
      <w:r>
        <w:rPr>
          <w:rFonts w:ascii="Times New Roman" w:eastAsia="Times New Roman" w:hAnsi="Times New Roman" w:cs="Times New Roman"/>
          <w:sz w:val="22"/>
          <w:szCs w:val="22"/>
        </w:rPr>
        <w:t>Green Building Council.</w:t>
      </w:r>
    </w:p>
    <w:p w14:paraId="000001D6" w14:textId="77777777" w:rsidR="00E73A2B" w:rsidRDefault="00E73A2B">
      <w:pPr>
        <w:spacing w:line="200" w:lineRule="auto"/>
        <w:rPr>
          <w:rFonts w:ascii="Times New Roman" w:eastAsia="Times New Roman" w:hAnsi="Times New Roman" w:cs="Times New Roman"/>
        </w:rPr>
      </w:pPr>
    </w:p>
    <w:p w14:paraId="000001D7" w14:textId="77777777" w:rsidR="00E73A2B" w:rsidRDefault="00E73A2B">
      <w:pPr>
        <w:spacing w:line="298" w:lineRule="auto"/>
        <w:rPr>
          <w:rFonts w:ascii="Times New Roman" w:eastAsia="Times New Roman" w:hAnsi="Times New Roman" w:cs="Times New Roman"/>
        </w:rPr>
      </w:pPr>
    </w:p>
    <w:p w14:paraId="000001D8" w14:textId="77777777" w:rsidR="00E73A2B" w:rsidRDefault="00A25CF8">
      <w:pPr>
        <w:spacing w:line="358" w:lineRule="auto"/>
        <w:ind w:right="100"/>
        <w:rPr>
          <w:rFonts w:ascii="Times New Roman" w:eastAsia="Times New Roman" w:hAnsi="Times New Roman" w:cs="Times New Roman"/>
          <w:sz w:val="22"/>
          <w:szCs w:val="22"/>
        </w:rPr>
      </w:pPr>
      <w:r>
        <w:rPr>
          <w:rFonts w:ascii="Times New Roman" w:eastAsia="Times New Roman" w:hAnsi="Times New Roman" w:cs="Times New Roman"/>
          <w:sz w:val="22"/>
          <w:szCs w:val="22"/>
        </w:rPr>
        <w:t>When effectively combined with other home intervention programs (such as the New York State Healthy Neighborhoods Program), energy efficiency upgrades can have direct and indirect health benefits for residents.</w:t>
      </w:r>
      <w:r>
        <w:rPr>
          <w:rFonts w:ascii="Arial" w:eastAsia="Arial" w:hAnsi="Arial"/>
          <w:sz w:val="12"/>
          <w:szCs w:val="12"/>
        </w:rPr>
        <w:t>135</w:t>
      </w:r>
      <w:r>
        <w:rPr>
          <w:rFonts w:ascii="Times New Roman" w:eastAsia="Times New Roman" w:hAnsi="Times New Roman" w:cs="Times New Roman"/>
          <w:sz w:val="22"/>
          <w:szCs w:val="22"/>
        </w:rPr>
        <w:t xml:space="preserve"> For example, these combined measures can r</w:t>
      </w:r>
      <w:r>
        <w:rPr>
          <w:rFonts w:ascii="Times New Roman" w:eastAsia="Times New Roman" w:hAnsi="Times New Roman" w:cs="Times New Roman"/>
          <w:sz w:val="22"/>
          <w:szCs w:val="22"/>
        </w:rPr>
        <w:t>educe hot and cold thermal stress, arthritis symptoms, asthma hospitalization or emergency department visits, missed days of work, carbon monoxide poisonings, home fires, and trip and fall injuries for residents.</w:t>
      </w:r>
      <w:r>
        <w:rPr>
          <w:rFonts w:ascii="Arial" w:eastAsia="Arial" w:hAnsi="Arial"/>
          <w:sz w:val="12"/>
          <w:szCs w:val="12"/>
        </w:rPr>
        <w:t>136</w:t>
      </w:r>
      <w:r>
        <w:rPr>
          <w:rFonts w:ascii="Times New Roman" w:eastAsia="Times New Roman" w:hAnsi="Times New Roman" w:cs="Times New Roman"/>
          <w:sz w:val="22"/>
          <w:szCs w:val="22"/>
        </w:rPr>
        <w:t xml:space="preserve"> These programs could also consider ident</w:t>
      </w:r>
      <w:r>
        <w:rPr>
          <w:rFonts w:ascii="Times New Roman" w:eastAsia="Times New Roman" w:hAnsi="Times New Roman" w:cs="Times New Roman"/>
          <w:sz w:val="22"/>
          <w:szCs w:val="22"/>
        </w:rPr>
        <w:t>ifying code violations which increase risks associated with flooding, and thus contribute toward increased community resiliency.</w:t>
      </w:r>
    </w:p>
    <w:p w14:paraId="000001D9" w14:textId="77777777" w:rsidR="00E73A2B" w:rsidRDefault="00E73A2B">
      <w:pPr>
        <w:spacing w:line="376" w:lineRule="auto"/>
        <w:rPr>
          <w:rFonts w:ascii="Times New Roman" w:eastAsia="Times New Roman" w:hAnsi="Times New Roman" w:cs="Times New Roman"/>
        </w:rPr>
      </w:pPr>
    </w:p>
    <w:p w14:paraId="000001DA" w14:textId="77777777" w:rsidR="00E73A2B" w:rsidRDefault="00A25CF8">
      <w:pPr>
        <w:spacing w:line="358" w:lineRule="auto"/>
        <w:ind w:right="20"/>
        <w:rPr>
          <w:rFonts w:ascii="Times New Roman" w:eastAsia="Times New Roman" w:hAnsi="Times New Roman" w:cs="Times New Roman"/>
          <w:sz w:val="22"/>
          <w:szCs w:val="22"/>
        </w:rPr>
      </w:pPr>
      <w:r>
        <w:rPr>
          <w:rFonts w:ascii="Times New Roman" w:eastAsia="Times New Roman" w:hAnsi="Times New Roman" w:cs="Times New Roman"/>
          <w:sz w:val="22"/>
          <w:szCs w:val="22"/>
        </w:rPr>
        <w:t>Electrification of the building sector will also reduce the health risks associated with combustion-based appliances for heati</w:t>
      </w:r>
      <w:r>
        <w:rPr>
          <w:rFonts w:ascii="Times New Roman" w:eastAsia="Times New Roman" w:hAnsi="Times New Roman" w:cs="Times New Roman"/>
          <w:sz w:val="22"/>
          <w:szCs w:val="22"/>
        </w:rPr>
        <w:t>ng, cooking, and other uses. Leaking home heating systems were the primary cause listed among the 15,000 carbon monoxide poisonings resulting in emergency department visits in the United States annually.</w:t>
      </w:r>
      <w:r>
        <w:rPr>
          <w:rFonts w:ascii="Arial" w:eastAsia="Arial" w:hAnsi="Arial"/>
          <w:sz w:val="12"/>
          <w:szCs w:val="12"/>
        </w:rPr>
        <w:t>137</w:t>
      </w:r>
      <w:r>
        <w:rPr>
          <w:rFonts w:ascii="Times New Roman" w:eastAsia="Times New Roman" w:hAnsi="Times New Roman" w:cs="Times New Roman"/>
          <w:sz w:val="22"/>
          <w:szCs w:val="22"/>
        </w:rPr>
        <w:t xml:space="preserve"> In New York alone, there are approximately 1,500 </w:t>
      </w:r>
      <w:r>
        <w:rPr>
          <w:rFonts w:ascii="Times New Roman" w:eastAsia="Times New Roman" w:hAnsi="Times New Roman" w:cs="Times New Roman"/>
          <w:sz w:val="22"/>
          <w:szCs w:val="22"/>
        </w:rPr>
        <w:t>emergency department visits and 160 hospitalizations for carbon monoxide poisoning annually.</w:t>
      </w:r>
      <w:r>
        <w:rPr>
          <w:rFonts w:ascii="Arial" w:eastAsia="Arial" w:hAnsi="Arial"/>
          <w:sz w:val="12"/>
          <w:szCs w:val="12"/>
        </w:rPr>
        <w:t>138</w:t>
      </w:r>
      <w:r>
        <w:rPr>
          <w:rFonts w:ascii="Times New Roman" w:eastAsia="Times New Roman" w:hAnsi="Times New Roman" w:cs="Times New Roman"/>
          <w:sz w:val="22"/>
          <w:szCs w:val="22"/>
        </w:rPr>
        <w:t xml:space="preserve"> Electrification of home heating systems could prevent many of these poisonings going forward. Cooking with gas stoves can increase indoor air concentrations of </w:t>
      </w:r>
      <w:r>
        <w:rPr>
          <w:rFonts w:ascii="Times New Roman" w:eastAsia="Times New Roman" w:hAnsi="Times New Roman" w:cs="Times New Roman"/>
          <w:sz w:val="22"/>
          <w:szCs w:val="22"/>
        </w:rPr>
        <w:t>NO</w:t>
      </w:r>
      <w:r>
        <w:rPr>
          <w:rFonts w:ascii="Times New Roman" w:eastAsia="Times New Roman" w:hAnsi="Times New Roman" w:cs="Times New Roman"/>
          <w:sz w:val="13"/>
          <w:szCs w:val="13"/>
        </w:rPr>
        <w:t>2</w:t>
      </w:r>
      <w:r>
        <w:rPr>
          <w:rFonts w:ascii="Times New Roman" w:eastAsia="Times New Roman" w:hAnsi="Times New Roman" w:cs="Times New Roman"/>
          <w:sz w:val="22"/>
          <w:szCs w:val="22"/>
        </w:rPr>
        <w:t>, carbon monoxide, and formaldehyde, and children living in homes with gas stoves can have an increased risk of being diagnosed with asthma.</w:t>
      </w:r>
      <w:r>
        <w:rPr>
          <w:rFonts w:ascii="Arial" w:eastAsia="Arial" w:hAnsi="Arial"/>
          <w:sz w:val="12"/>
          <w:szCs w:val="12"/>
        </w:rPr>
        <w:t>139</w:t>
      </w:r>
      <w:r>
        <w:rPr>
          <w:rFonts w:ascii="Times New Roman" w:eastAsia="Times New Roman" w:hAnsi="Times New Roman" w:cs="Times New Roman"/>
          <w:sz w:val="22"/>
          <w:szCs w:val="22"/>
        </w:rPr>
        <w:t xml:space="preserve"> </w:t>
      </w:r>
      <w:sdt>
        <w:sdtPr>
          <w:tag w:val="goog_rdk_5"/>
          <w:id w:val="91744060"/>
        </w:sdtPr>
        <w:sdtEndPr/>
        <w:sdtContent>
          <w:commentRangeStart w:id="20"/>
        </w:sdtContent>
      </w:sdt>
      <w:r>
        <w:rPr>
          <w:rFonts w:ascii="Times New Roman" w:eastAsia="Times New Roman" w:hAnsi="Times New Roman" w:cs="Times New Roman"/>
          <w:sz w:val="22"/>
          <w:szCs w:val="22"/>
        </w:rPr>
        <w:t>Disadvantaged Communities are disproportionately affected by asthma and may be more likely to have unvented</w:t>
      </w:r>
      <w:r>
        <w:rPr>
          <w:rFonts w:ascii="Times New Roman" w:eastAsia="Times New Roman" w:hAnsi="Times New Roman" w:cs="Times New Roman"/>
          <w:sz w:val="22"/>
          <w:szCs w:val="22"/>
        </w:rPr>
        <w:t xml:space="preserve"> and/or piloted gas stoves. </w:t>
      </w:r>
      <w:commentRangeEnd w:id="20"/>
      <w:r>
        <w:commentReference w:id="20"/>
      </w:r>
      <w:r>
        <w:rPr>
          <w:rFonts w:ascii="Times New Roman" w:eastAsia="Times New Roman" w:hAnsi="Times New Roman" w:cs="Times New Roman"/>
          <w:sz w:val="22"/>
          <w:szCs w:val="22"/>
        </w:rPr>
        <w:t>Thus, electrification of gas cooking appliances can reduce the risk of asthma in Disadvantaged Communities and improve the health of all New Yorkers.</w:t>
      </w:r>
    </w:p>
    <w:p w14:paraId="000001DB" w14:textId="77777777" w:rsidR="00E73A2B" w:rsidRDefault="00A25CF8">
      <w:pPr>
        <w:spacing w:line="20" w:lineRule="auto"/>
        <w:rPr>
          <w:rFonts w:ascii="Times New Roman" w:eastAsia="Times New Roman" w:hAnsi="Times New Roman" w:cs="Times New Roman"/>
        </w:rPr>
      </w:pPr>
      <w:r>
        <w:rPr>
          <w:noProof/>
        </w:rPr>
        <mc:AlternateContent>
          <mc:Choice Requires="wpg">
            <w:drawing>
              <wp:anchor distT="0" distB="0" distL="0" distR="0" simplePos="0" relativeHeight="251672576" behindDoc="1" locked="0" layoutInCell="1" hidden="0" allowOverlap="1">
                <wp:simplePos x="0" y="0"/>
                <wp:positionH relativeFrom="column">
                  <wp:posOffset>0</wp:posOffset>
                </wp:positionH>
                <wp:positionV relativeFrom="paragraph">
                  <wp:posOffset>469900</wp:posOffset>
                </wp:positionV>
                <wp:extent cx="1838325" cy="22225"/>
                <wp:effectExtent l="0" t="0" r="0" b="0"/>
                <wp:wrapNone/>
                <wp:docPr id="37" name=""/>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469900</wp:posOffset>
                </wp:positionV>
                <wp:extent cx="1838325" cy="22225"/>
                <wp:effectExtent b="0" l="0" r="0" t="0"/>
                <wp:wrapNone/>
                <wp:docPr id="37" name="image5.png"/>
                <a:graphic>
                  <a:graphicData uri="http://schemas.openxmlformats.org/drawingml/2006/picture">
                    <pic:pic>
                      <pic:nvPicPr>
                        <pic:cNvPr id="0" name="image5.png"/>
                        <pic:cNvPicPr preferRelativeResize="0"/>
                      </pic:nvPicPr>
                      <pic:blipFill>
                        <a:blip r:embed="rId29"/>
                        <a:srcRect/>
                        <a:stretch>
                          <a:fillRect/>
                        </a:stretch>
                      </pic:blipFill>
                      <pic:spPr>
                        <a:xfrm>
                          <a:off x="0" y="0"/>
                          <a:ext cx="1838325" cy="22225"/>
                        </a:xfrm>
                        <a:prstGeom prst="rect"/>
                        <a:ln/>
                      </pic:spPr>
                    </pic:pic>
                  </a:graphicData>
                </a:graphic>
              </wp:anchor>
            </w:drawing>
          </mc:Fallback>
        </mc:AlternateContent>
      </w:r>
    </w:p>
    <w:p w14:paraId="000001DC" w14:textId="77777777" w:rsidR="00E73A2B" w:rsidRDefault="00E73A2B">
      <w:pPr>
        <w:spacing w:line="200" w:lineRule="auto"/>
        <w:rPr>
          <w:rFonts w:ascii="Times New Roman" w:eastAsia="Times New Roman" w:hAnsi="Times New Roman" w:cs="Times New Roman"/>
        </w:rPr>
      </w:pPr>
    </w:p>
    <w:p w14:paraId="000001DD" w14:textId="77777777" w:rsidR="00E73A2B" w:rsidRDefault="00E73A2B">
      <w:pPr>
        <w:spacing w:line="200" w:lineRule="auto"/>
        <w:rPr>
          <w:rFonts w:ascii="Times New Roman" w:eastAsia="Times New Roman" w:hAnsi="Times New Roman" w:cs="Times New Roman"/>
        </w:rPr>
      </w:pPr>
    </w:p>
    <w:p w14:paraId="000001DE" w14:textId="77777777" w:rsidR="00E73A2B" w:rsidRDefault="00E73A2B">
      <w:pPr>
        <w:spacing w:line="200" w:lineRule="auto"/>
        <w:rPr>
          <w:rFonts w:ascii="Times New Roman" w:eastAsia="Times New Roman" w:hAnsi="Times New Roman" w:cs="Times New Roman"/>
        </w:rPr>
      </w:pPr>
    </w:p>
    <w:p w14:paraId="000001DF" w14:textId="77777777" w:rsidR="00E73A2B" w:rsidRDefault="00E73A2B">
      <w:pPr>
        <w:spacing w:line="200" w:lineRule="auto"/>
        <w:rPr>
          <w:rFonts w:ascii="Times New Roman" w:eastAsia="Times New Roman" w:hAnsi="Times New Roman" w:cs="Times New Roman"/>
        </w:rPr>
      </w:pPr>
    </w:p>
    <w:p w14:paraId="000001E0" w14:textId="77777777" w:rsidR="00E73A2B" w:rsidRDefault="00E73A2B">
      <w:pPr>
        <w:spacing w:line="252" w:lineRule="auto"/>
        <w:rPr>
          <w:rFonts w:ascii="Times New Roman" w:eastAsia="Times New Roman" w:hAnsi="Times New Roman" w:cs="Times New Roman"/>
        </w:rPr>
      </w:pPr>
    </w:p>
    <w:p w14:paraId="000001E1" w14:textId="77777777" w:rsidR="00E73A2B" w:rsidRDefault="00A25CF8">
      <w:pPr>
        <w:numPr>
          <w:ilvl w:val="0"/>
          <w:numId w:val="18"/>
        </w:numPr>
        <w:tabs>
          <w:tab w:val="left" w:pos="268"/>
        </w:tabs>
        <w:spacing w:line="319" w:lineRule="auto"/>
        <w:ind w:left="280" w:right="60" w:hanging="280"/>
        <w:rPr>
          <w:rFonts w:ascii="Arial" w:eastAsia="Arial" w:hAnsi="Arial"/>
          <w:sz w:val="24"/>
          <w:szCs w:val="24"/>
          <w:vertAlign w:val="superscript"/>
        </w:rPr>
      </w:pPr>
      <w:r>
        <w:rPr>
          <w:rFonts w:ascii="Times New Roman" w:eastAsia="Times New Roman" w:hAnsi="Times New Roman" w:cs="Times New Roman"/>
          <w:sz w:val="17"/>
          <w:szCs w:val="17"/>
        </w:rPr>
        <w:t xml:space="preserve">Gomez, Marta MS; Reddy, Amanda L. MS; Dixon, Sherry L. PhD; Wilson, </w:t>
      </w:r>
      <w:r>
        <w:rPr>
          <w:rFonts w:ascii="Times New Roman" w:eastAsia="Times New Roman" w:hAnsi="Times New Roman" w:cs="Times New Roman"/>
          <w:sz w:val="17"/>
          <w:szCs w:val="17"/>
        </w:rPr>
        <w:t>Jonathan MPH; Jacobs, David E. PhD, CIH A Cost-Benefit Analysis of a State-Funded Healthy Homes Program for Residents with Asthma: Findings from the New York State Healthy Neighborhoods Program, Journal of Public Health Management and Practice: March/April</w:t>
      </w:r>
      <w:r>
        <w:rPr>
          <w:rFonts w:ascii="Times New Roman" w:eastAsia="Times New Roman" w:hAnsi="Times New Roman" w:cs="Times New Roman"/>
          <w:sz w:val="17"/>
          <w:szCs w:val="17"/>
        </w:rPr>
        <w:t xml:space="preserve"> 2017 - Volume 23 - Issue 2 - p 229-238.</w:t>
      </w:r>
    </w:p>
    <w:p w14:paraId="000001E2" w14:textId="77777777" w:rsidR="00E73A2B" w:rsidRDefault="00E73A2B">
      <w:pPr>
        <w:spacing w:line="42" w:lineRule="auto"/>
        <w:rPr>
          <w:rFonts w:ascii="Arial" w:eastAsia="Arial" w:hAnsi="Arial"/>
          <w:sz w:val="24"/>
          <w:szCs w:val="24"/>
          <w:vertAlign w:val="superscript"/>
        </w:rPr>
      </w:pPr>
    </w:p>
    <w:p w14:paraId="000001E3" w14:textId="77777777" w:rsidR="00E73A2B" w:rsidRDefault="00A25CF8">
      <w:pPr>
        <w:numPr>
          <w:ilvl w:val="0"/>
          <w:numId w:val="18"/>
        </w:numPr>
        <w:tabs>
          <w:tab w:val="left" w:pos="270"/>
        </w:tabs>
        <w:spacing w:line="223" w:lineRule="auto"/>
        <w:ind w:left="280" w:right="140" w:hanging="280"/>
        <w:rPr>
          <w:rFonts w:ascii="Arial" w:eastAsia="Arial" w:hAnsi="Arial"/>
          <w:sz w:val="24"/>
          <w:szCs w:val="24"/>
          <w:vertAlign w:val="superscript"/>
        </w:rPr>
      </w:pPr>
      <w:r>
        <w:rPr>
          <w:rFonts w:ascii="Times New Roman" w:eastAsia="Times New Roman" w:hAnsi="Times New Roman" w:cs="Times New Roman"/>
          <w:sz w:val="17"/>
          <w:szCs w:val="17"/>
        </w:rPr>
        <w:t>Bureau of Environmental and Occupational Epidemiology, Center for Environmental Health, DOH. Based on Analysis of Statewide Planning and Research Cooperative System Hospital Outpatient Emergency Department data. St</w:t>
      </w:r>
      <w:r>
        <w:rPr>
          <w:rFonts w:ascii="Times New Roman" w:eastAsia="Times New Roman" w:hAnsi="Times New Roman" w:cs="Times New Roman"/>
          <w:sz w:val="17"/>
          <w:szCs w:val="17"/>
        </w:rPr>
        <w:t>atewide Planning and Research Cooperative System (ny.gov).</w:t>
      </w:r>
    </w:p>
    <w:p w14:paraId="000001E4" w14:textId="77777777" w:rsidR="00E73A2B" w:rsidRDefault="00E73A2B">
      <w:pPr>
        <w:spacing w:line="105" w:lineRule="auto"/>
        <w:rPr>
          <w:rFonts w:ascii="Arial" w:eastAsia="Arial" w:hAnsi="Arial"/>
          <w:sz w:val="24"/>
          <w:szCs w:val="24"/>
          <w:vertAlign w:val="superscript"/>
        </w:rPr>
      </w:pPr>
    </w:p>
    <w:p w14:paraId="000001E5" w14:textId="77777777" w:rsidR="00E73A2B" w:rsidRDefault="00A25CF8">
      <w:pPr>
        <w:numPr>
          <w:ilvl w:val="0"/>
          <w:numId w:val="18"/>
        </w:numPr>
        <w:tabs>
          <w:tab w:val="left" w:pos="270"/>
        </w:tabs>
        <w:ind w:left="280" w:right="220" w:hanging="280"/>
        <w:rPr>
          <w:rFonts w:ascii="Arial" w:eastAsia="Arial" w:hAnsi="Arial"/>
          <w:sz w:val="24"/>
          <w:szCs w:val="24"/>
          <w:vertAlign w:val="superscript"/>
        </w:rPr>
      </w:pPr>
      <w:r>
        <w:rPr>
          <w:rFonts w:ascii="Times New Roman" w:eastAsia="Times New Roman" w:hAnsi="Times New Roman" w:cs="Times New Roman"/>
          <w:sz w:val="17"/>
          <w:szCs w:val="17"/>
        </w:rPr>
        <w:t>Centers for Disease Control and Prevention. Nonfatal, Unintentional, Non-Fire Related, Carbon-Monoxide Exposures-U.S. 2008.</w:t>
      </w:r>
    </w:p>
    <w:p w14:paraId="000001E6" w14:textId="77777777" w:rsidR="00E73A2B" w:rsidRDefault="00E73A2B">
      <w:pPr>
        <w:spacing w:line="242" w:lineRule="auto"/>
        <w:rPr>
          <w:rFonts w:ascii="Arial" w:eastAsia="Arial" w:hAnsi="Arial"/>
          <w:sz w:val="24"/>
          <w:szCs w:val="24"/>
          <w:vertAlign w:val="superscript"/>
        </w:rPr>
      </w:pPr>
    </w:p>
    <w:p w14:paraId="000001E7" w14:textId="77777777" w:rsidR="00E73A2B" w:rsidRDefault="00A25CF8">
      <w:pPr>
        <w:numPr>
          <w:ilvl w:val="0"/>
          <w:numId w:val="18"/>
        </w:numPr>
        <w:tabs>
          <w:tab w:val="left" w:pos="270"/>
        </w:tabs>
        <w:spacing w:line="221" w:lineRule="auto"/>
        <w:ind w:left="280" w:right="140" w:hanging="280"/>
        <w:rPr>
          <w:rFonts w:ascii="Arial" w:eastAsia="Arial" w:hAnsi="Arial"/>
          <w:sz w:val="24"/>
          <w:szCs w:val="24"/>
          <w:vertAlign w:val="superscript"/>
        </w:rPr>
      </w:pPr>
      <w:r>
        <w:rPr>
          <w:rFonts w:ascii="Times New Roman" w:eastAsia="Times New Roman" w:hAnsi="Times New Roman" w:cs="Times New Roman"/>
          <w:sz w:val="17"/>
          <w:szCs w:val="17"/>
        </w:rPr>
        <w:t xml:space="preserve">Bureau of Environmental and Occupational Epidemiology, Center for Environmental Health, DOH. Based on Analysis of Statewide Planning and Research Cooperative System Hospital Outpatient Emergency Department data. Statewide Planning and Research Cooperative </w:t>
      </w:r>
      <w:r>
        <w:rPr>
          <w:rFonts w:ascii="Times New Roman" w:eastAsia="Times New Roman" w:hAnsi="Times New Roman" w:cs="Times New Roman"/>
          <w:sz w:val="17"/>
          <w:szCs w:val="17"/>
        </w:rPr>
        <w:t>System (ny.gov).</w:t>
      </w:r>
    </w:p>
    <w:p w14:paraId="000001E8" w14:textId="77777777" w:rsidR="00E73A2B" w:rsidRDefault="00E73A2B">
      <w:pPr>
        <w:spacing w:line="108" w:lineRule="auto"/>
        <w:rPr>
          <w:rFonts w:ascii="Arial" w:eastAsia="Arial" w:hAnsi="Arial"/>
          <w:sz w:val="24"/>
          <w:szCs w:val="24"/>
          <w:vertAlign w:val="superscript"/>
        </w:rPr>
      </w:pPr>
    </w:p>
    <w:p w14:paraId="000001E9" w14:textId="77777777" w:rsidR="00E73A2B" w:rsidRDefault="00A25CF8">
      <w:pPr>
        <w:numPr>
          <w:ilvl w:val="0"/>
          <w:numId w:val="18"/>
        </w:numPr>
        <w:tabs>
          <w:tab w:val="left" w:pos="270"/>
        </w:tabs>
        <w:spacing w:line="221" w:lineRule="auto"/>
        <w:ind w:left="280" w:right="180" w:hanging="280"/>
        <w:rPr>
          <w:rFonts w:ascii="Arial" w:eastAsia="Arial" w:hAnsi="Arial"/>
          <w:sz w:val="24"/>
          <w:szCs w:val="24"/>
          <w:vertAlign w:val="superscript"/>
        </w:rPr>
      </w:pPr>
      <w:r>
        <w:rPr>
          <w:rFonts w:ascii="Times New Roman" w:eastAsia="Times New Roman" w:hAnsi="Times New Roman" w:cs="Times New Roman"/>
          <w:sz w:val="17"/>
          <w:szCs w:val="17"/>
        </w:rPr>
        <w:t>Bhangar S, Mullen NA, Hering SV, Kreisberg NM, Nazaroff WW. Ultrafine particle concentrations and exposures in seven residences in northern California. Indoor Air. 2011 Apr;21(2):132-44. doi: 10.1111/j.1600-0668.2010.00689.x. Epub 2010 Oc</w:t>
      </w:r>
      <w:r>
        <w:rPr>
          <w:rFonts w:ascii="Times New Roman" w:eastAsia="Times New Roman" w:hAnsi="Times New Roman" w:cs="Times New Roman"/>
          <w:sz w:val="17"/>
          <w:szCs w:val="17"/>
        </w:rPr>
        <w:t>t 28. PMID: 21029183.</w:t>
      </w:r>
    </w:p>
    <w:p w14:paraId="000001EA" w14:textId="77777777" w:rsidR="00E73A2B" w:rsidRDefault="00E73A2B">
      <w:pPr>
        <w:spacing w:line="377" w:lineRule="auto"/>
        <w:rPr>
          <w:rFonts w:ascii="Times New Roman" w:eastAsia="Times New Roman" w:hAnsi="Times New Roman" w:cs="Times New Roman"/>
        </w:rPr>
      </w:pPr>
    </w:p>
    <w:tbl>
      <w:tblPr>
        <w:tblStyle w:val="aff"/>
        <w:tblW w:w="9360" w:type="dxa"/>
        <w:tblLayout w:type="fixed"/>
        <w:tblLook w:val="0000" w:firstRow="0" w:lastRow="0" w:firstColumn="0" w:lastColumn="0" w:noHBand="0" w:noVBand="0"/>
      </w:tblPr>
      <w:tblGrid>
        <w:gridCol w:w="5460"/>
        <w:gridCol w:w="3900"/>
      </w:tblGrid>
      <w:tr w:rsidR="00E73A2B" w14:paraId="470EFAD6" w14:textId="77777777">
        <w:trPr>
          <w:trHeight w:val="184"/>
        </w:trPr>
        <w:tc>
          <w:tcPr>
            <w:tcW w:w="5460" w:type="dxa"/>
            <w:shd w:val="clear" w:color="auto" w:fill="auto"/>
            <w:vAlign w:val="bottom"/>
          </w:tcPr>
          <w:p w14:paraId="000001EB" w14:textId="77777777" w:rsidR="00E73A2B" w:rsidRDefault="00A25CF8">
            <w:pPr>
              <w:rPr>
                <w:rFonts w:ascii="Arial" w:eastAsia="Arial" w:hAnsi="Arial"/>
                <w:sz w:val="16"/>
                <w:szCs w:val="16"/>
              </w:rPr>
            </w:pPr>
            <w:hyperlink w:anchor="bookmark=id.44sinio">
              <w:r>
                <w:rPr>
                  <w:rFonts w:ascii="Arial" w:eastAsia="Arial" w:hAnsi="Arial"/>
                  <w:sz w:val="16"/>
                  <w:szCs w:val="16"/>
                </w:rPr>
                <w:t>Chapter 8. Public Health</w:t>
              </w:r>
            </w:hyperlink>
          </w:p>
        </w:tc>
        <w:tc>
          <w:tcPr>
            <w:tcW w:w="3900" w:type="dxa"/>
            <w:shd w:val="clear" w:color="auto" w:fill="auto"/>
            <w:vAlign w:val="bottom"/>
          </w:tcPr>
          <w:p w14:paraId="000001EC" w14:textId="77777777" w:rsidR="00E73A2B" w:rsidRDefault="00A25CF8">
            <w:pPr>
              <w:jc w:val="right"/>
              <w:rPr>
                <w:rFonts w:ascii="Arial" w:eastAsia="Arial" w:hAnsi="Arial"/>
                <w:sz w:val="16"/>
                <w:szCs w:val="16"/>
              </w:rPr>
            </w:pPr>
            <w:r>
              <w:rPr>
                <w:rFonts w:ascii="Arial" w:eastAsia="Arial" w:hAnsi="Arial"/>
                <w:sz w:val="16"/>
                <w:szCs w:val="16"/>
              </w:rPr>
              <w:t>67</w:t>
            </w:r>
          </w:p>
        </w:tc>
      </w:tr>
    </w:tbl>
    <w:p w14:paraId="000001ED" w14:textId="77777777" w:rsidR="00E73A2B" w:rsidRDefault="00E73A2B">
      <w:pPr>
        <w:rPr>
          <w:rFonts w:ascii="Arial" w:eastAsia="Arial" w:hAnsi="Arial"/>
          <w:sz w:val="16"/>
          <w:szCs w:val="16"/>
        </w:rPr>
        <w:sectPr w:rsidR="00E73A2B">
          <w:pgSz w:w="12240" w:h="15840"/>
          <w:pgMar w:top="1439" w:right="1440" w:bottom="395" w:left="1440" w:header="0" w:footer="0" w:gutter="0"/>
          <w:cols w:space="720"/>
        </w:sectPr>
      </w:pPr>
    </w:p>
    <w:p w14:paraId="000001EE" w14:textId="77777777" w:rsidR="00E73A2B" w:rsidRDefault="00E73A2B">
      <w:pPr>
        <w:spacing w:line="14" w:lineRule="auto"/>
        <w:rPr>
          <w:rFonts w:ascii="Times New Roman" w:eastAsia="Times New Roman" w:hAnsi="Times New Roman" w:cs="Times New Roman"/>
        </w:rPr>
      </w:pPr>
      <w:bookmarkStart w:id="21" w:name="bookmark=id.35nkun2" w:colFirst="0" w:colLast="0"/>
      <w:bookmarkEnd w:id="21"/>
    </w:p>
    <w:p w14:paraId="000001EF" w14:textId="77777777" w:rsidR="00E73A2B" w:rsidRDefault="00A25CF8">
      <w:pPr>
        <w:spacing w:line="358" w:lineRule="auto"/>
        <w:ind w:right="140"/>
        <w:rPr>
          <w:rFonts w:ascii="Arial" w:eastAsia="Arial" w:hAnsi="Arial"/>
          <w:sz w:val="12"/>
          <w:szCs w:val="12"/>
        </w:rPr>
      </w:pPr>
      <w:r>
        <w:rPr>
          <w:rFonts w:ascii="Times New Roman" w:eastAsia="Times New Roman" w:hAnsi="Times New Roman" w:cs="Times New Roman"/>
          <w:sz w:val="22"/>
          <w:szCs w:val="22"/>
        </w:rPr>
        <w:t xml:space="preserve">Biomass and biofuels are burned in New York for heat and combined heat and power for the residential, commercial, and industrial sectors. Of these energy use sectors, the residential sector has the greatest use as residents increasingly turn to biomass to </w:t>
      </w:r>
      <w:r>
        <w:rPr>
          <w:rFonts w:ascii="Times New Roman" w:eastAsia="Times New Roman" w:hAnsi="Times New Roman" w:cs="Times New Roman"/>
          <w:sz w:val="22"/>
          <w:szCs w:val="22"/>
        </w:rPr>
        <w:t>heat their homes. EPA estimates the PM</w:t>
      </w:r>
      <w:r>
        <w:rPr>
          <w:rFonts w:ascii="Times New Roman" w:eastAsia="Times New Roman" w:hAnsi="Times New Roman" w:cs="Times New Roman"/>
          <w:sz w:val="13"/>
          <w:szCs w:val="13"/>
        </w:rPr>
        <w:t>2.5</w:t>
      </w:r>
      <w:r>
        <w:rPr>
          <w:rFonts w:ascii="Times New Roman" w:eastAsia="Times New Roman" w:hAnsi="Times New Roman" w:cs="Times New Roman"/>
          <w:sz w:val="22"/>
          <w:szCs w:val="22"/>
        </w:rPr>
        <w:t xml:space="preserve"> emissions from residential wood heating in New York State, representing 2% of homes, is greater than that from the power generation sector and the entire and transportation sectors combined. Adverse health effects </w:t>
      </w:r>
      <w:r>
        <w:rPr>
          <w:rFonts w:ascii="Times New Roman" w:eastAsia="Times New Roman" w:hAnsi="Times New Roman" w:cs="Times New Roman"/>
          <w:sz w:val="22"/>
          <w:szCs w:val="22"/>
        </w:rPr>
        <w:t>associated with exposure to wood smoke are consistent with those identified for PM</w:t>
      </w:r>
      <w:r>
        <w:rPr>
          <w:rFonts w:ascii="Times New Roman" w:eastAsia="Times New Roman" w:hAnsi="Times New Roman" w:cs="Times New Roman"/>
          <w:sz w:val="13"/>
          <w:szCs w:val="13"/>
        </w:rPr>
        <w:t>2.5</w:t>
      </w:r>
      <w:r>
        <w:rPr>
          <w:rFonts w:ascii="Times New Roman" w:eastAsia="Times New Roman" w:hAnsi="Times New Roman" w:cs="Times New Roman"/>
          <w:sz w:val="22"/>
          <w:szCs w:val="22"/>
        </w:rPr>
        <w:t xml:space="preserve"> (a major component of wood smoke) including exacerbation of cardiovascular symptoms (e.g., chest pain, heart rhythm changes, heart attack, stroke), and respiratory sympto</w:t>
      </w:r>
      <w:r>
        <w:rPr>
          <w:rFonts w:ascii="Times New Roman" w:eastAsia="Times New Roman" w:hAnsi="Times New Roman" w:cs="Times New Roman"/>
          <w:sz w:val="22"/>
          <w:szCs w:val="22"/>
        </w:rPr>
        <w:t>ms (e.g., asthma). The elderly, people with heart and lung diseases, people of low economic status, and children are particularly vulnerable to the effects of fine particle exposures in wood smoke. Wood smoke is found in particularly rural areas of the Sta</w:t>
      </w:r>
      <w:r>
        <w:rPr>
          <w:rFonts w:ascii="Times New Roman" w:eastAsia="Times New Roman" w:hAnsi="Times New Roman" w:cs="Times New Roman"/>
          <w:sz w:val="22"/>
          <w:szCs w:val="22"/>
        </w:rPr>
        <w:t>te, and some wintertime smoke impacts are significant.</w:t>
      </w:r>
      <w:r>
        <w:rPr>
          <w:rFonts w:ascii="Arial" w:eastAsia="Arial" w:hAnsi="Arial"/>
          <w:sz w:val="12"/>
          <w:szCs w:val="12"/>
        </w:rPr>
        <w:t>140</w:t>
      </w:r>
    </w:p>
    <w:p w14:paraId="000001F0" w14:textId="77777777" w:rsidR="00E73A2B" w:rsidRDefault="00E73A2B">
      <w:pPr>
        <w:spacing w:line="372" w:lineRule="auto"/>
        <w:rPr>
          <w:rFonts w:ascii="Times New Roman" w:eastAsia="Times New Roman" w:hAnsi="Times New Roman" w:cs="Times New Roman"/>
        </w:rPr>
      </w:pPr>
    </w:p>
    <w:p w14:paraId="000001F1" w14:textId="77777777" w:rsidR="00E73A2B" w:rsidRDefault="00A25CF8">
      <w:pPr>
        <w:rPr>
          <w:rFonts w:ascii="Arial" w:eastAsia="Arial" w:hAnsi="Arial"/>
          <w:b/>
          <w:sz w:val="22"/>
          <w:szCs w:val="22"/>
        </w:rPr>
      </w:pPr>
      <w:r>
        <w:rPr>
          <w:rFonts w:ascii="Arial" w:eastAsia="Arial" w:hAnsi="Arial"/>
          <w:b/>
          <w:sz w:val="22"/>
          <w:szCs w:val="22"/>
        </w:rPr>
        <w:t>Commercial/Industrial Built Environment</w:t>
      </w:r>
    </w:p>
    <w:p w14:paraId="000001F2" w14:textId="77777777" w:rsidR="00E73A2B" w:rsidRDefault="00E73A2B">
      <w:pPr>
        <w:spacing w:line="169" w:lineRule="auto"/>
        <w:rPr>
          <w:rFonts w:ascii="Times New Roman" w:eastAsia="Times New Roman" w:hAnsi="Times New Roman" w:cs="Times New Roman"/>
        </w:rPr>
      </w:pPr>
    </w:p>
    <w:p w14:paraId="000001F3" w14:textId="77777777" w:rsidR="00E73A2B" w:rsidRDefault="00A25CF8">
      <w:pPr>
        <w:spacing w:line="358" w:lineRule="auto"/>
        <w:ind w:right="120"/>
        <w:rPr>
          <w:rFonts w:ascii="Times New Roman" w:eastAsia="Times New Roman" w:hAnsi="Times New Roman" w:cs="Times New Roman"/>
          <w:sz w:val="22"/>
          <w:szCs w:val="22"/>
        </w:rPr>
      </w:pPr>
      <w:r>
        <w:rPr>
          <w:rFonts w:ascii="Times New Roman" w:eastAsia="Times New Roman" w:hAnsi="Times New Roman" w:cs="Times New Roman"/>
          <w:sz w:val="22"/>
          <w:szCs w:val="22"/>
        </w:rPr>
        <w:t>In the industrial sector, in addition to the potential use of green hydrogen as described above for the power generation sector, carbon capture and sequestr</w:t>
      </w:r>
      <w:r>
        <w:rPr>
          <w:rFonts w:ascii="Times New Roman" w:eastAsia="Times New Roman" w:hAnsi="Times New Roman" w:cs="Times New Roman"/>
          <w:sz w:val="22"/>
          <w:szCs w:val="22"/>
        </w:rPr>
        <w:t>ation could reduce GHG emissions. Depending on the specific technology, carbon capture and sequestration may also reduce emissions of some other pollutants, but in many cases does not. While carbon capture technology requires energy, which can lead to addi</w:t>
      </w:r>
      <w:r>
        <w:rPr>
          <w:rFonts w:ascii="Times New Roman" w:eastAsia="Times New Roman" w:hAnsi="Times New Roman" w:cs="Times New Roman"/>
          <w:sz w:val="22"/>
          <w:szCs w:val="22"/>
        </w:rPr>
        <w:t>tional power sector emissions,</w:t>
      </w:r>
      <w:r>
        <w:rPr>
          <w:rFonts w:ascii="Arial" w:eastAsia="Arial" w:hAnsi="Arial"/>
          <w:sz w:val="12"/>
          <w:szCs w:val="12"/>
        </w:rPr>
        <w:t>141</w:t>
      </w:r>
      <w:r>
        <w:rPr>
          <w:rFonts w:ascii="Times New Roman" w:eastAsia="Times New Roman" w:hAnsi="Times New Roman" w:cs="Times New Roman"/>
          <w:sz w:val="22"/>
          <w:szCs w:val="22"/>
        </w:rPr>
        <w:t xml:space="preserve"> potential increases in emissions for powering carbon capture and sequestration would depend on the energy generation source.</w:t>
      </w:r>
    </w:p>
    <w:p w14:paraId="000001F4" w14:textId="77777777" w:rsidR="00E73A2B" w:rsidRDefault="00A25CF8">
      <w:pPr>
        <w:spacing w:line="20" w:lineRule="auto"/>
        <w:rPr>
          <w:rFonts w:ascii="Times New Roman" w:eastAsia="Times New Roman" w:hAnsi="Times New Roman" w:cs="Times New Roman"/>
        </w:rPr>
      </w:pPr>
      <w:r>
        <w:rPr>
          <w:noProof/>
        </w:rPr>
        <mc:AlternateContent>
          <mc:Choice Requires="wpg">
            <w:drawing>
              <wp:anchor distT="0" distB="0" distL="0" distR="0" simplePos="0" relativeHeight="251673600" behindDoc="1" locked="0" layoutInCell="1" hidden="0" allowOverlap="1">
                <wp:simplePos x="0" y="0"/>
                <wp:positionH relativeFrom="column">
                  <wp:posOffset>0</wp:posOffset>
                </wp:positionH>
                <wp:positionV relativeFrom="paragraph">
                  <wp:posOffset>2933700</wp:posOffset>
                </wp:positionV>
                <wp:extent cx="1838325" cy="22225"/>
                <wp:effectExtent l="0" t="0" r="0" b="0"/>
                <wp:wrapNone/>
                <wp:docPr id="38" name=""/>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0</wp:posOffset>
                </wp:positionH>
                <wp:positionV relativeFrom="paragraph">
                  <wp:posOffset>2933700</wp:posOffset>
                </wp:positionV>
                <wp:extent cx="1838325" cy="22225"/>
                <wp:effectExtent b="0" l="0" r="0" t="0"/>
                <wp:wrapNone/>
                <wp:docPr id="38" name="image6.png"/>
                <a:graphic>
                  <a:graphicData uri="http://schemas.openxmlformats.org/drawingml/2006/picture">
                    <pic:pic>
                      <pic:nvPicPr>
                        <pic:cNvPr id="0" name="image6.png"/>
                        <pic:cNvPicPr preferRelativeResize="0"/>
                      </pic:nvPicPr>
                      <pic:blipFill>
                        <a:blip r:embed="rId30"/>
                        <a:srcRect/>
                        <a:stretch>
                          <a:fillRect/>
                        </a:stretch>
                      </pic:blipFill>
                      <pic:spPr>
                        <a:xfrm>
                          <a:off x="0" y="0"/>
                          <a:ext cx="1838325" cy="22225"/>
                        </a:xfrm>
                        <a:prstGeom prst="rect"/>
                        <a:ln/>
                      </pic:spPr>
                    </pic:pic>
                  </a:graphicData>
                </a:graphic>
              </wp:anchor>
            </w:drawing>
          </mc:Fallback>
        </mc:AlternateContent>
      </w:r>
    </w:p>
    <w:p w14:paraId="000001F5" w14:textId="77777777" w:rsidR="00E73A2B" w:rsidRDefault="00E73A2B">
      <w:pPr>
        <w:spacing w:line="200" w:lineRule="auto"/>
        <w:rPr>
          <w:rFonts w:ascii="Times New Roman" w:eastAsia="Times New Roman" w:hAnsi="Times New Roman" w:cs="Times New Roman"/>
        </w:rPr>
      </w:pPr>
    </w:p>
    <w:p w14:paraId="000001F6" w14:textId="77777777" w:rsidR="00E73A2B" w:rsidRDefault="00E73A2B">
      <w:pPr>
        <w:spacing w:line="200" w:lineRule="auto"/>
        <w:rPr>
          <w:rFonts w:ascii="Times New Roman" w:eastAsia="Times New Roman" w:hAnsi="Times New Roman" w:cs="Times New Roman"/>
        </w:rPr>
      </w:pPr>
    </w:p>
    <w:p w14:paraId="000001F7" w14:textId="77777777" w:rsidR="00E73A2B" w:rsidRDefault="00E73A2B">
      <w:pPr>
        <w:spacing w:line="200" w:lineRule="auto"/>
        <w:rPr>
          <w:rFonts w:ascii="Times New Roman" w:eastAsia="Times New Roman" w:hAnsi="Times New Roman" w:cs="Times New Roman"/>
        </w:rPr>
      </w:pPr>
    </w:p>
    <w:p w14:paraId="000001F8" w14:textId="77777777" w:rsidR="00E73A2B" w:rsidRDefault="00E73A2B">
      <w:pPr>
        <w:spacing w:line="200" w:lineRule="auto"/>
        <w:rPr>
          <w:rFonts w:ascii="Times New Roman" w:eastAsia="Times New Roman" w:hAnsi="Times New Roman" w:cs="Times New Roman"/>
        </w:rPr>
      </w:pPr>
    </w:p>
    <w:p w14:paraId="000001F9" w14:textId="77777777" w:rsidR="00E73A2B" w:rsidRDefault="00E73A2B">
      <w:pPr>
        <w:spacing w:line="200" w:lineRule="auto"/>
        <w:rPr>
          <w:rFonts w:ascii="Times New Roman" w:eastAsia="Times New Roman" w:hAnsi="Times New Roman" w:cs="Times New Roman"/>
        </w:rPr>
      </w:pPr>
    </w:p>
    <w:p w14:paraId="000001FA" w14:textId="77777777" w:rsidR="00E73A2B" w:rsidRDefault="00E73A2B">
      <w:pPr>
        <w:spacing w:line="200" w:lineRule="auto"/>
        <w:rPr>
          <w:rFonts w:ascii="Times New Roman" w:eastAsia="Times New Roman" w:hAnsi="Times New Roman" w:cs="Times New Roman"/>
        </w:rPr>
      </w:pPr>
    </w:p>
    <w:p w14:paraId="000001FB" w14:textId="77777777" w:rsidR="00E73A2B" w:rsidRDefault="00E73A2B">
      <w:pPr>
        <w:spacing w:line="200" w:lineRule="auto"/>
        <w:rPr>
          <w:rFonts w:ascii="Times New Roman" w:eastAsia="Times New Roman" w:hAnsi="Times New Roman" w:cs="Times New Roman"/>
        </w:rPr>
      </w:pPr>
    </w:p>
    <w:p w14:paraId="000001FC" w14:textId="77777777" w:rsidR="00E73A2B" w:rsidRDefault="00E73A2B">
      <w:pPr>
        <w:spacing w:line="200" w:lineRule="auto"/>
        <w:rPr>
          <w:rFonts w:ascii="Times New Roman" w:eastAsia="Times New Roman" w:hAnsi="Times New Roman" w:cs="Times New Roman"/>
        </w:rPr>
      </w:pPr>
    </w:p>
    <w:p w14:paraId="000001FD" w14:textId="77777777" w:rsidR="00E73A2B" w:rsidRDefault="00E73A2B">
      <w:pPr>
        <w:spacing w:line="200" w:lineRule="auto"/>
        <w:rPr>
          <w:rFonts w:ascii="Times New Roman" w:eastAsia="Times New Roman" w:hAnsi="Times New Roman" w:cs="Times New Roman"/>
        </w:rPr>
      </w:pPr>
    </w:p>
    <w:p w14:paraId="000001FE" w14:textId="77777777" w:rsidR="00E73A2B" w:rsidRDefault="00E73A2B">
      <w:pPr>
        <w:spacing w:line="200" w:lineRule="auto"/>
        <w:rPr>
          <w:rFonts w:ascii="Times New Roman" w:eastAsia="Times New Roman" w:hAnsi="Times New Roman" w:cs="Times New Roman"/>
        </w:rPr>
      </w:pPr>
      <w:bookmarkStart w:id="22" w:name="_heading=h.1ksv4uv" w:colFirst="0" w:colLast="0"/>
      <w:bookmarkEnd w:id="22"/>
    </w:p>
    <w:p w14:paraId="000001FF" w14:textId="77777777" w:rsidR="00E73A2B" w:rsidRDefault="00E73A2B">
      <w:pPr>
        <w:spacing w:line="200" w:lineRule="auto"/>
        <w:rPr>
          <w:rFonts w:ascii="Times New Roman" w:eastAsia="Times New Roman" w:hAnsi="Times New Roman" w:cs="Times New Roman"/>
        </w:rPr>
      </w:pPr>
    </w:p>
    <w:p w14:paraId="00000200" w14:textId="77777777" w:rsidR="00E73A2B" w:rsidRDefault="00E73A2B">
      <w:pPr>
        <w:spacing w:line="200" w:lineRule="auto"/>
        <w:rPr>
          <w:rFonts w:ascii="Times New Roman" w:eastAsia="Times New Roman" w:hAnsi="Times New Roman" w:cs="Times New Roman"/>
        </w:rPr>
      </w:pPr>
    </w:p>
    <w:p w14:paraId="00000201" w14:textId="77777777" w:rsidR="00E73A2B" w:rsidRDefault="00E73A2B">
      <w:pPr>
        <w:spacing w:line="200" w:lineRule="auto"/>
        <w:rPr>
          <w:rFonts w:ascii="Times New Roman" w:eastAsia="Times New Roman" w:hAnsi="Times New Roman" w:cs="Times New Roman"/>
        </w:rPr>
      </w:pPr>
    </w:p>
    <w:p w14:paraId="00000202" w14:textId="77777777" w:rsidR="00E73A2B" w:rsidRDefault="00E73A2B">
      <w:pPr>
        <w:spacing w:line="200" w:lineRule="auto"/>
        <w:rPr>
          <w:rFonts w:ascii="Times New Roman" w:eastAsia="Times New Roman" w:hAnsi="Times New Roman" w:cs="Times New Roman"/>
        </w:rPr>
      </w:pPr>
    </w:p>
    <w:p w14:paraId="00000203" w14:textId="77777777" w:rsidR="00E73A2B" w:rsidRDefault="00E73A2B">
      <w:pPr>
        <w:spacing w:line="200" w:lineRule="auto"/>
        <w:rPr>
          <w:rFonts w:ascii="Times New Roman" w:eastAsia="Times New Roman" w:hAnsi="Times New Roman" w:cs="Times New Roman"/>
        </w:rPr>
      </w:pPr>
    </w:p>
    <w:p w14:paraId="00000204" w14:textId="77777777" w:rsidR="00E73A2B" w:rsidRDefault="00E73A2B">
      <w:pPr>
        <w:spacing w:line="200" w:lineRule="auto"/>
        <w:rPr>
          <w:rFonts w:ascii="Times New Roman" w:eastAsia="Times New Roman" w:hAnsi="Times New Roman" w:cs="Times New Roman"/>
        </w:rPr>
      </w:pPr>
    </w:p>
    <w:p w14:paraId="00000205" w14:textId="77777777" w:rsidR="00E73A2B" w:rsidRDefault="00E73A2B">
      <w:pPr>
        <w:spacing w:line="200" w:lineRule="auto"/>
        <w:rPr>
          <w:rFonts w:ascii="Times New Roman" w:eastAsia="Times New Roman" w:hAnsi="Times New Roman" w:cs="Times New Roman"/>
        </w:rPr>
      </w:pPr>
    </w:p>
    <w:p w14:paraId="00000206" w14:textId="77777777" w:rsidR="00E73A2B" w:rsidRDefault="00E73A2B">
      <w:pPr>
        <w:spacing w:line="200" w:lineRule="auto"/>
        <w:rPr>
          <w:rFonts w:ascii="Times New Roman" w:eastAsia="Times New Roman" w:hAnsi="Times New Roman" w:cs="Times New Roman"/>
        </w:rPr>
      </w:pPr>
    </w:p>
    <w:p w14:paraId="00000207" w14:textId="77777777" w:rsidR="00E73A2B" w:rsidRDefault="00E73A2B">
      <w:pPr>
        <w:spacing w:line="200" w:lineRule="auto"/>
        <w:rPr>
          <w:rFonts w:ascii="Times New Roman" w:eastAsia="Times New Roman" w:hAnsi="Times New Roman" w:cs="Times New Roman"/>
        </w:rPr>
      </w:pPr>
    </w:p>
    <w:p w14:paraId="00000208" w14:textId="77777777" w:rsidR="00E73A2B" w:rsidRDefault="00E73A2B">
      <w:pPr>
        <w:spacing w:line="200" w:lineRule="auto"/>
        <w:rPr>
          <w:rFonts w:ascii="Times New Roman" w:eastAsia="Times New Roman" w:hAnsi="Times New Roman" w:cs="Times New Roman"/>
        </w:rPr>
      </w:pPr>
    </w:p>
    <w:p w14:paraId="00000209" w14:textId="77777777" w:rsidR="00E73A2B" w:rsidRDefault="00E73A2B">
      <w:pPr>
        <w:spacing w:line="200" w:lineRule="auto"/>
        <w:rPr>
          <w:rFonts w:ascii="Times New Roman" w:eastAsia="Times New Roman" w:hAnsi="Times New Roman" w:cs="Times New Roman"/>
        </w:rPr>
      </w:pPr>
    </w:p>
    <w:p w14:paraId="0000020A" w14:textId="77777777" w:rsidR="00E73A2B" w:rsidRDefault="00E73A2B">
      <w:pPr>
        <w:spacing w:line="200" w:lineRule="auto"/>
        <w:rPr>
          <w:rFonts w:ascii="Times New Roman" w:eastAsia="Times New Roman" w:hAnsi="Times New Roman" w:cs="Times New Roman"/>
        </w:rPr>
      </w:pPr>
    </w:p>
    <w:p w14:paraId="0000020B" w14:textId="77777777" w:rsidR="00E73A2B" w:rsidRDefault="00E73A2B">
      <w:pPr>
        <w:spacing w:line="200" w:lineRule="auto"/>
        <w:rPr>
          <w:rFonts w:ascii="Times New Roman" w:eastAsia="Times New Roman" w:hAnsi="Times New Roman" w:cs="Times New Roman"/>
        </w:rPr>
      </w:pPr>
    </w:p>
    <w:p w14:paraId="0000020C" w14:textId="77777777" w:rsidR="00E73A2B" w:rsidRDefault="00E73A2B">
      <w:pPr>
        <w:spacing w:line="255" w:lineRule="auto"/>
        <w:rPr>
          <w:rFonts w:ascii="Times New Roman" w:eastAsia="Times New Roman" w:hAnsi="Times New Roman" w:cs="Times New Roman"/>
        </w:rPr>
      </w:pPr>
    </w:p>
    <w:p w14:paraId="0000020D" w14:textId="77777777" w:rsidR="00E73A2B" w:rsidRDefault="00A25CF8">
      <w:pPr>
        <w:numPr>
          <w:ilvl w:val="0"/>
          <w:numId w:val="19"/>
        </w:numPr>
        <w:tabs>
          <w:tab w:val="left" w:pos="260"/>
        </w:tabs>
        <w:ind w:left="260" w:hanging="260"/>
        <w:rPr>
          <w:rFonts w:ascii="Arial" w:eastAsia="Arial" w:hAnsi="Arial"/>
          <w:sz w:val="23"/>
          <w:szCs w:val="23"/>
          <w:vertAlign w:val="superscript"/>
        </w:rPr>
      </w:pPr>
      <w:r>
        <w:rPr>
          <w:rFonts w:ascii="Times New Roman" w:eastAsia="Times New Roman" w:hAnsi="Times New Roman" w:cs="Times New Roman"/>
          <w:sz w:val="16"/>
          <w:szCs w:val="16"/>
        </w:rPr>
        <w:t>Allen, George and Lisa Rector. “Characterization of Residential Woodsmoke PM2.5 in the Adirondacks of New York.”</w:t>
      </w:r>
    </w:p>
    <w:p w14:paraId="0000020E" w14:textId="77777777" w:rsidR="00E73A2B" w:rsidRDefault="00E73A2B">
      <w:pPr>
        <w:spacing w:line="22" w:lineRule="auto"/>
        <w:rPr>
          <w:rFonts w:ascii="Arial" w:eastAsia="Arial" w:hAnsi="Arial"/>
          <w:sz w:val="23"/>
          <w:szCs w:val="23"/>
          <w:vertAlign w:val="superscript"/>
        </w:rPr>
      </w:pPr>
    </w:p>
    <w:p w14:paraId="0000020F" w14:textId="77777777" w:rsidR="00E73A2B" w:rsidRDefault="00A25CF8">
      <w:pPr>
        <w:spacing w:line="221" w:lineRule="auto"/>
        <w:ind w:left="280"/>
        <w:rPr>
          <w:rFonts w:ascii="Times New Roman" w:eastAsia="Times New Roman" w:hAnsi="Times New Roman" w:cs="Times New Roman"/>
          <w:sz w:val="18"/>
          <w:szCs w:val="18"/>
        </w:rPr>
      </w:pPr>
      <w:r>
        <w:rPr>
          <w:rFonts w:ascii="Times New Roman" w:eastAsia="Times New Roman" w:hAnsi="Times New Roman" w:cs="Times New Roman"/>
          <w:sz w:val="18"/>
          <w:szCs w:val="18"/>
        </w:rPr>
        <w:t>Aerosol and Air Quality Research 20 (2020): 2419-2432.</w:t>
      </w:r>
    </w:p>
    <w:p w14:paraId="00000210" w14:textId="77777777" w:rsidR="00E73A2B" w:rsidRDefault="00E73A2B">
      <w:pPr>
        <w:spacing w:line="40" w:lineRule="auto"/>
        <w:rPr>
          <w:rFonts w:ascii="Arial" w:eastAsia="Arial" w:hAnsi="Arial"/>
          <w:sz w:val="23"/>
          <w:szCs w:val="23"/>
          <w:vertAlign w:val="superscript"/>
        </w:rPr>
      </w:pPr>
    </w:p>
    <w:p w14:paraId="00000211" w14:textId="77777777" w:rsidR="00E73A2B" w:rsidRDefault="00A25CF8">
      <w:pPr>
        <w:numPr>
          <w:ilvl w:val="0"/>
          <w:numId w:val="19"/>
        </w:numPr>
        <w:tabs>
          <w:tab w:val="left" w:pos="260"/>
        </w:tabs>
        <w:ind w:left="260" w:hanging="260"/>
        <w:rPr>
          <w:rFonts w:ascii="Arial" w:eastAsia="Arial" w:hAnsi="Arial"/>
          <w:sz w:val="23"/>
          <w:szCs w:val="23"/>
          <w:vertAlign w:val="superscript"/>
        </w:rPr>
      </w:pPr>
      <w:r w:rsidRPr="00A25CF8">
        <w:rPr>
          <w:rFonts w:ascii="Times New Roman" w:eastAsia="Times New Roman" w:hAnsi="Times New Roman" w:cs="Times New Roman"/>
          <w:sz w:val="16"/>
          <w:szCs w:val="16"/>
          <w:lang w:val="es-CL"/>
        </w:rPr>
        <w:t xml:space="preserve">Jacobson, M.Z. Energy Environ. </w:t>
      </w:r>
      <w:r>
        <w:rPr>
          <w:rFonts w:ascii="Times New Roman" w:eastAsia="Times New Roman" w:hAnsi="Times New Roman" w:cs="Times New Roman"/>
          <w:sz w:val="16"/>
          <w:szCs w:val="16"/>
        </w:rPr>
        <w:t>Sci., 2019,12, 3567-3574.</w:t>
      </w:r>
    </w:p>
    <w:p w14:paraId="00000212" w14:textId="77777777" w:rsidR="00E73A2B" w:rsidRDefault="00E73A2B">
      <w:pPr>
        <w:spacing w:line="379" w:lineRule="auto"/>
        <w:rPr>
          <w:rFonts w:ascii="Times New Roman" w:eastAsia="Times New Roman" w:hAnsi="Times New Roman" w:cs="Times New Roman"/>
        </w:rPr>
      </w:pPr>
    </w:p>
    <w:tbl>
      <w:tblPr>
        <w:tblStyle w:val="aff0"/>
        <w:tblW w:w="9360" w:type="dxa"/>
        <w:tblLayout w:type="fixed"/>
        <w:tblLook w:val="0000" w:firstRow="0" w:lastRow="0" w:firstColumn="0" w:lastColumn="0" w:noHBand="0" w:noVBand="0"/>
      </w:tblPr>
      <w:tblGrid>
        <w:gridCol w:w="5460"/>
        <w:gridCol w:w="3900"/>
      </w:tblGrid>
      <w:tr w:rsidR="00E73A2B" w14:paraId="24B9BD5C" w14:textId="77777777">
        <w:trPr>
          <w:trHeight w:val="184"/>
        </w:trPr>
        <w:tc>
          <w:tcPr>
            <w:tcW w:w="5460" w:type="dxa"/>
            <w:shd w:val="clear" w:color="auto" w:fill="auto"/>
            <w:vAlign w:val="bottom"/>
          </w:tcPr>
          <w:p w14:paraId="00000213" w14:textId="77777777" w:rsidR="00E73A2B" w:rsidRDefault="00A25CF8">
            <w:pPr>
              <w:rPr>
                <w:rFonts w:ascii="Arial" w:eastAsia="Arial" w:hAnsi="Arial"/>
                <w:sz w:val="16"/>
                <w:szCs w:val="16"/>
              </w:rPr>
            </w:pPr>
            <w:hyperlink w:anchor="bookmark=id.44sinio">
              <w:r>
                <w:rPr>
                  <w:rFonts w:ascii="Arial" w:eastAsia="Arial" w:hAnsi="Arial"/>
                  <w:sz w:val="16"/>
                  <w:szCs w:val="16"/>
                </w:rPr>
                <w:t>Chapter 8. Public Health</w:t>
              </w:r>
            </w:hyperlink>
          </w:p>
        </w:tc>
        <w:tc>
          <w:tcPr>
            <w:tcW w:w="3900" w:type="dxa"/>
            <w:shd w:val="clear" w:color="auto" w:fill="auto"/>
            <w:vAlign w:val="bottom"/>
          </w:tcPr>
          <w:p w14:paraId="00000214" w14:textId="77777777" w:rsidR="00E73A2B" w:rsidRDefault="00A25CF8">
            <w:pPr>
              <w:jc w:val="right"/>
              <w:rPr>
                <w:rFonts w:ascii="Arial" w:eastAsia="Arial" w:hAnsi="Arial"/>
                <w:sz w:val="16"/>
                <w:szCs w:val="16"/>
              </w:rPr>
            </w:pPr>
            <w:r>
              <w:rPr>
                <w:rFonts w:ascii="Arial" w:eastAsia="Arial" w:hAnsi="Arial"/>
                <w:sz w:val="16"/>
                <w:szCs w:val="16"/>
              </w:rPr>
              <w:t>68</w:t>
            </w:r>
          </w:p>
        </w:tc>
      </w:tr>
    </w:tbl>
    <w:p w14:paraId="00000215" w14:textId="77777777" w:rsidR="00E73A2B" w:rsidRDefault="00E73A2B"/>
    <w:sectPr w:rsidR="00E73A2B">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Chris Kai-Jones" w:date="2022-03-12T22:34:00Z" w:initials="">
    <w:p w14:paraId="00000219" w14:textId="77777777" w:rsidR="00E73A2B" w:rsidRDefault="00A25CF8">
      <w:pPr>
        <w:widowControl w:val="0"/>
        <w:pBdr>
          <w:top w:val="nil"/>
          <w:left w:val="nil"/>
          <w:bottom w:val="nil"/>
          <w:right w:val="nil"/>
          <w:between w:val="nil"/>
        </w:pBdr>
        <w:rPr>
          <w:rFonts w:ascii="Arial" w:eastAsia="Arial" w:hAnsi="Arial"/>
          <w:color w:val="000000"/>
          <w:sz w:val="22"/>
          <w:szCs w:val="22"/>
        </w:rPr>
      </w:pPr>
      <w:r>
        <w:rPr>
          <w:rFonts w:ascii="Arial" w:eastAsia="Arial" w:hAnsi="Arial"/>
          <w:color w:val="000000"/>
          <w:sz w:val="22"/>
          <w:szCs w:val="22"/>
        </w:rPr>
        <w:t>curious why mental health not mentioned after the initial reference above. Some issues include psychotropic medicines function differently in heat waves, the pre</w:t>
      </w:r>
      <w:r>
        <w:rPr>
          <w:rFonts w:ascii="Arial" w:eastAsia="Arial" w:hAnsi="Arial"/>
          <w:color w:val="000000"/>
          <w:sz w:val="22"/>
          <w:szCs w:val="22"/>
        </w:rPr>
        <w:t>valence of mental health issues among underserved communities; aggressive behavior domestic violence increases with climate instability; there is elevated anxiety, depression, and PTSD with extreme weather events; increased alcohol consumption in heat wave</w:t>
      </w:r>
      <w:r>
        <w:rPr>
          <w:rFonts w:ascii="Arial" w:eastAsia="Arial" w:hAnsi="Arial"/>
          <w:color w:val="000000"/>
          <w:sz w:val="22"/>
          <w:szCs w:val="22"/>
        </w:rPr>
        <w:t>s;</w:t>
      </w:r>
    </w:p>
  </w:comment>
  <w:comment w:id="3" w:author="Guillermo Metz" w:date="2022-06-30T01:11:00Z" w:initials="">
    <w:p w14:paraId="00000216" w14:textId="77777777" w:rsidR="00E73A2B" w:rsidRDefault="00A25CF8">
      <w:pPr>
        <w:widowControl w:val="0"/>
        <w:pBdr>
          <w:top w:val="nil"/>
          <w:left w:val="nil"/>
          <w:bottom w:val="nil"/>
          <w:right w:val="nil"/>
          <w:between w:val="nil"/>
        </w:pBdr>
        <w:rPr>
          <w:rFonts w:ascii="Arial" w:eastAsia="Arial" w:hAnsi="Arial"/>
          <w:color w:val="000000"/>
          <w:sz w:val="22"/>
          <w:szCs w:val="22"/>
        </w:rPr>
      </w:pPr>
      <w:r>
        <w:rPr>
          <w:rFonts w:ascii="Arial" w:eastAsia="Arial" w:hAnsi="Arial"/>
          <w:color w:val="000000"/>
          <w:sz w:val="22"/>
          <w:szCs w:val="22"/>
        </w:rPr>
        <w:t>There are many additional health-related effects of climate change (see https://www.contemporaryobgyn.net/view/how-climate-change-is-making-your-patients-sick-and-what-you-can-do-about-it-) and also include increased pollen leading to increased allergies (</w:t>
      </w:r>
      <w:r>
        <w:rPr>
          <w:rFonts w:ascii="Arial" w:eastAsia="Arial" w:hAnsi="Arial"/>
          <w:color w:val="000000"/>
          <w:sz w:val="22"/>
          <w:szCs w:val="22"/>
        </w:rPr>
        <w:t>https://pubmed.ncbi.nlm.nih.gov/33558232/; https://www.ncbi.nlm.nih.gov/pmc/articles/PMC4829390/; https://www.independent.co.uk/climate-change/news/allergy-bee-gone-seasonal-cottonwood-b2097492.html)</w:t>
      </w:r>
    </w:p>
  </w:comment>
  <w:comment w:id="7" w:author="Chris Kai-Jones" w:date="2022-03-13T13:27:00Z" w:initials="">
    <w:p w14:paraId="0000021B" w14:textId="77777777" w:rsidR="00E73A2B" w:rsidRDefault="00A25CF8">
      <w:pPr>
        <w:widowControl w:val="0"/>
        <w:pBdr>
          <w:top w:val="nil"/>
          <w:left w:val="nil"/>
          <w:bottom w:val="nil"/>
          <w:right w:val="nil"/>
          <w:between w:val="nil"/>
        </w:pBdr>
        <w:rPr>
          <w:rFonts w:ascii="Arial" w:eastAsia="Arial" w:hAnsi="Arial"/>
          <w:color w:val="000000"/>
          <w:sz w:val="22"/>
          <w:szCs w:val="22"/>
        </w:rPr>
      </w:pPr>
      <w:r>
        <w:rPr>
          <w:rFonts w:ascii="Arial" w:eastAsia="Arial" w:hAnsi="Arial"/>
          <w:color w:val="000000"/>
          <w:sz w:val="22"/>
          <w:szCs w:val="22"/>
        </w:rPr>
        <w:t>The term obesity is con</w:t>
      </w:r>
      <w:r>
        <w:rPr>
          <w:rFonts w:ascii="Arial" w:eastAsia="Arial" w:hAnsi="Arial"/>
          <w:color w:val="000000"/>
          <w:sz w:val="22"/>
          <w:szCs w:val="22"/>
        </w:rPr>
        <w:t>troversial and needs to be unpacked if this point is to be made.</w:t>
      </w:r>
    </w:p>
  </w:comment>
  <w:comment w:id="13" w:author="Chris Kai-Jones" w:date="2022-03-13T16:13:00Z" w:initials="">
    <w:p w14:paraId="0000021A" w14:textId="77777777" w:rsidR="00E73A2B" w:rsidRDefault="00A25CF8">
      <w:pPr>
        <w:widowControl w:val="0"/>
        <w:pBdr>
          <w:top w:val="nil"/>
          <w:left w:val="nil"/>
          <w:bottom w:val="nil"/>
          <w:right w:val="nil"/>
          <w:between w:val="nil"/>
        </w:pBdr>
        <w:rPr>
          <w:rFonts w:ascii="Arial" w:eastAsia="Arial" w:hAnsi="Arial"/>
          <w:color w:val="000000"/>
          <w:sz w:val="22"/>
          <w:szCs w:val="22"/>
        </w:rPr>
      </w:pPr>
      <w:r>
        <w:rPr>
          <w:rFonts w:ascii="Arial" w:eastAsia="Arial" w:hAnsi="Arial"/>
          <w:color w:val="000000"/>
          <w:sz w:val="22"/>
          <w:szCs w:val="22"/>
        </w:rPr>
        <w:t>How does this kind of policy if at all actually get implemented in low-income neighborhoods? Also what causes lack of physical activity in these neighborhoods? How is this going to relate to working from home and internet access?</w:t>
      </w:r>
    </w:p>
  </w:comment>
  <w:comment w:id="17" w:author="Guillermo Metz" w:date="2022-06-30T01:34:00Z" w:initials="">
    <w:p w14:paraId="00000217" w14:textId="77777777" w:rsidR="00E73A2B" w:rsidRDefault="00A25CF8">
      <w:pPr>
        <w:widowControl w:val="0"/>
        <w:pBdr>
          <w:top w:val="nil"/>
          <w:left w:val="nil"/>
          <w:bottom w:val="nil"/>
          <w:right w:val="nil"/>
          <w:between w:val="nil"/>
        </w:pBdr>
        <w:rPr>
          <w:rFonts w:ascii="Arial" w:eastAsia="Arial" w:hAnsi="Arial"/>
          <w:color w:val="000000"/>
          <w:sz w:val="22"/>
          <w:szCs w:val="22"/>
        </w:rPr>
      </w:pPr>
      <w:r>
        <w:rPr>
          <w:rFonts w:ascii="Arial" w:eastAsia="Arial" w:hAnsi="Arial"/>
          <w:color w:val="000000"/>
          <w:sz w:val="22"/>
          <w:szCs w:val="22"/>
        </w:rPr>
        <w:t>These "water elements" can also help absorb and direct w</w:t>
      </w:r>
      <w:r>
        <w:rPr>
          <w:rFonts w:ascii="Arial" w:eastAsia="Arial" w:hAnsi="Arial"/>
          <w:color w:val="000000"/>
          <w:sz w:val="22"/>
          <w:szCs w:val="22"/>
        </w:rPr>
        <w:t>ater during extreme rain events, reducing flooding, strain on infrastructure, and runoff into lakes and streams.</w:t>
      </w:r>
    </w:p>
  </w:comment>
  <w:comment w:id="20" w:author="Guillermo Metz" w:date="2022-06-30T01:37:00Z" w:initials="">
    <w:p w14:paraId="00000218" w14:textId="77777777" w:rsidR="00E73A2B" w:rsidRDefault="00A25CF8">
      <w:pPr>
        <w:widowControl w:val="0"/>
        <w:pBdr>
          <w:top w:val="nil"/>
          <w:left w:val="nil"/>
          <w:bottom w:val="nil"/>
          <w:right w:val="nil"/>
          <w:between w:val="nil"/>
        </w:pBdr>
        <w:rPr>
          <w:rFonts w:ascii="Arial" w:eastAsia="Arial" w:hAnsi="Arial"/>
          <w:color w:val="000000"/>
          <w:sz w:val="22"/>
          <w:szCs w:val="22"/>
        </w:rPr>
      </w:pPr>
      <w:r>
        <w:rPr>
          <w:rFonts w:ascii="Arial" w:eastAsia="Arial" w:hAnsi="Arial"/>
          <w:color w:val="000000"/>
          <w:sz w:val="22"/>
          <w:szCs w:val="22"/>
        </w:rPr>
        <w:t>more emphasis could be given to the indoor air hazards of gas, and to the fact that people in DACs are less likely to have range hoods, which e</w:t>
      </w:r>
      <w:r>
        <w:rPr>
          <w:rFonts w:ascii="Arial" w:eastAsia="Arial" w:hAnsi="Arial"/>
          <w:color w:val="000000"/>
          <w:sz w:val="22"/>
          <w:szCs w:val="22"/>
        </w:rPr>
        <w:t>xacerbates indoor air quality issues from cooking (no matter what kind of range you're using).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219" w15:done="0"/>
  <w15:commentEx w15:paraId="00000216" w15:done="0"/>
  <w15:commentEx w15:paraId="0000021B" w15:done="0"/>
  <w15:commentEx w15:paraId="0000021A" w15:done="0"/>
  <w15:commentEx w15:paraId="00000217" w15:done="0"/>
  <w15:commentEx w15:paraId="0000021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7144"/>
    <w:multiLevelType w:val="multilevel"/>
    <w:tmpl w:val="F62A5A0E"/>
    <w:lvl w:ilvl="0">
      <w:start w:val="5888"/>
      <w:numFmt w:val="decimal"/>
      <w:lvlText w:val=""/>
      <w:lvlJc w:val="left"/>
      <w:pPr>
        <w:ind w:left="0" w:firstLine="0"/>
      </w:pPr>
    </w:lvl>
    <w:lvl w:ilvl="1">
      <w:start w:val="5888"/>
      <w:numFmt w:val="decimal"/>
      <w:lvlText w:val=""/>
      <w:lvlJc w:val="left"/>
      <w:pPr>
        <w:ind w:left="0" w:firstLine="0"/>
      </w:pPr>
    </w:lvl>
    <w:lvl w:ilvl="2">
      <w:start w:val="5888"/>
      <w:numFmt w:val="decimal"/>
      <w:lvlText w:val=""/>
      <w:lvlJc w:val="left"/>
      <w:pPr>
        <w:ind w:left="0" w:firstLine="0"/>
      </w:pPr>
    </w:lvl>
    <w:lvl w:ilvl="3">
      <w:start w:val="5888"/>
      <w:numFmt w:val="decimal"/>
      <w:lvlText w:val=""/>
      <w:lvlJc w:val="left"/>
      <w:pPr>
        <w:ind w:left="0" w:firstLine="0"/>
      </w:pPr>
    </w:lvl>
    <w:lvl w:ilvl="4">
      <w:start w:val="5888"/>
      <w:numFmt w:val="decimal"/>
      <w:lvlText w:val=""/>
      <w:lvlJc w:val="left"/>
      <w:pPr>
        <w:ind w:left="0" w:firstLine="0"/>
      </w:pPr>
    </w:lvl>
    <w:lvl w:ilvl="5">
      <w:start w:val="5888"/>
      <w:numFmt w:val="decimal"/>
      <w:lvlText w:val=""/>
      <w:lvlJc w:val="left"/>
      <w:pPr>
        <w:ind w:left="0" w:firstLine="0"/>
      </w:pPr>
    </w:lvl>
    <w:lvl w:ilvl="6">
      <w:start w:val="16777216"/>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1" w15:restartNumberingAfterBreak="0">
    <w:nsid w:val="069F2EDD"/>
    <w:multiLevelType w:val="multilevel"/>
    <w:tmpl w:val="17EC0BA6"/>
    <w:lvl w:ilvl="0">
      <w:start w:val="23"/>
      <w:numFmt w:val="decimal"/>
      <w:lvlText w:val=""/>
      <w:lvlJc w:val="left"/>
      <w:pPr>
        <w:ind w:left="0" w:firstLine="0"/>
      </w:pPr>
    </w:lvl>
    <w:lvl w:ilvl="1">
      <w:start w:val="23"/>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numFmt w:val="decimal"/>
      <w:lvlText w:val=""/>
      <w:lvlJc w:val="left"/>
      <w:pPr>
        <w:ind w:left="0" w:firstLine="0"/>
      </w:pPr>
    </w:lvl>
    <w:lvl w:ilvl="7">
      <w:start w:val="5888"/>
      <w:numFmt w:val="decimal"/>
      <w:lvlText w:val=""/>
      <w:lvlJc w:val="left"/>
      <w:pPr>
        <w:ind w:left="0" w:firstLine="0"/>
      </w:pPr>
    </w:lvl>
    <w:lvl w:ilvl="8">
      <w:start w:val="5888"/>
      <w:numFmt w:val="decimal"/>
      <w:lvlText w:val=""/>
      <w:lvlJc w:val="left"/>
      <w:pPr>
        <w:ind w:left="0" w:firstLine="0"/>
      </w:pPr>
    </w:lvl>
  </w:abstractNum>
  <w:abstractNum w:abstractNumId="2" w15:restartNumberingAfterBreak="0">
    <w:nsid w:val="1B4606C4"/>
    <w:multiLevelType w:val="multilevel"/>
    <w:tmpl w:val="67DE2642"/>
    <w:lvl w:ilvl="0">
      <w:start w:val="5888"/>
      <w:numFmt w:val="decimal"/>
      <w:lvlText w:val=""/>
      <w:lvlJc w:val="left"/>
      <w:pPr>
        <w:ind w:left="0" w:firstLine="0"/>
      </w:pPr>
    </w:lvl>
    <w:lvl w:ilvl="1">
      <w:start w:val="5888"/>
      <w:numFmt w:val="decimal"/>
      <w:lvlText w:val=""/>
      <w:lvlJc w:val="left"/>
      <w:pPr>
        <w:ind w:left="0" w:firstLine="0"/>
      </w:pPr>
    </w:lvl>
    <w:lvl w:ilvl="2">
      <w:start w:val="5888"/>
      <w:numFmt w:val="decimal"/>
      <w:lvlText w:val=""/>
      <w:lvlJc w:val="left"/>
      <w:pPr>
        <w:ind w:left="0" w:firstLine="0"/>
      </w:pPr>
    </w:lvl>
    <w:lvl w:ilvl="3">
      <w:start w:val="5888"/>
      <w:numFmt w:val="decimal"/>
      <w:lvlText w:val=""/>
      <w:lvlJc w:val="left"/>
      <w:pPr>
        <w:ind w:left="0" w:firstLine="0"/>
      </w:pPr>
    </w:lvl>
    <w:lvl w:ilvl="4">
      <w:start w:val="5888"/>
      <w:numFmt w:val="decimal"/>
      <w:lvlText w:val=""/>
      <w:lvlJc w:val="left"/>
      <w:pPr>
        <w:ind w:left="0" w:firstLine="0"/>
      </w:pPr>
    </w:lvl>
    <w:lvl w:ilvl="5">
      <w:start w:val="5888"/>
      <w:numFmt w:val="decimal"/>
      <w:lvlText w:val=""/>
      <w:lvlJc w:val="left"/>
      <w:pPr>
        <w:ind w:left="0" w:firstLine="0"/>
      </w:pPr>
    </w:lvl>
    <w:lvl w:ilvl="6">
      <w:start w:val="5888"/>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3" w15:restartNumberingAfterBreak="0">
    <w:nsid w:val="1E2B1A08"/>
    <w:multiLevelType w:val="multilevel"/>
    <w:tmpl w:val="99562444"/>
    <w:lvl w:ilvl="0">
      <w:start w:val="23"/>
      <w:numFmt w:val="decimal"/>
      <w:lvlText w:val=""/>
      <w:lvlJc w:val="left"/>
      <w:pPr>
        <w:ind w:left="0" w:firstLine="0"/>
      </w:pPr>
    </w:lvl>
    <w:lvl w:ilvl="1">
      <w:start w:val="23"/>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numFmt w:val="decimal"/>
      <w:lvlText w:val=""/>
      <w:lvlJc w:val="left"/>
      <w:pPr>
        <w:ind w:left="0" w:firstLine="0"/>
      </w:pPr>
    </w:lvl>
    <w:lvl w:ilvl="7">
      <w:start w:val="5888"/>
      <w:numFmt w:val="decimal"/>
      <w:lvlText w:val=""/>
      <w:lvlJc w:val="left"/>
      <w:pPr>
        <w:ind w:left="0" w:firstLine="0"/>
      </w:pPr>
    </w:lvl>
    <w:lvl w:ilvl="8">
      <w:start w:val="5888"/>
      <w:numFmt w:val="decimal"/>
      <w:lvlText w:val=""/>
      <w:lvlJc w:val="left"/>
      <w:pPr>
        <w:ind w:left="0" w:firstLine="0"/>
      </w:pPr>
    </w:lvl>
  </w:abstractNum>
  <w:abstractNum w:abstractNumId="4" w15:restartNumberingAfterBreak="0">
    <w:nsid w:val="26250662"/>
    <w:multiLevelType w:val="multilevel"/>
    <w:tmpl w:val="21CA88DE"/>
    <w:lvl w:ilvl="0">
      <w:start w:val="23"/>
      <w:numFmt w:val="decimal"/>
      <w:lvlText w:val=""/>
      <w:lvlJc w:val="left"/>
      <w:pPr>
        <w:ind w:left="0" w:firstLine="0"/>
      </w:pPr>
    </w:lvl>
    <w:lvl w:ilvl="1">
      <w:start w:val="23"/>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numFmt w:val="decimal"/>
      <w:lvlText w:val=""/>
      <w:lvlJc w:val="left"/>
      <w:pPr>
        <w:ind w:left="0" w:firstLine="0"/>
      </w:pPr>
    </w:lvl>
    <w:lvl w:ilvl="6">
      <w:start w:val="65536"/>
      <w:numFmt w:val="decimal"/>
      <w:lvlText w:val=""/>
      <w:lvlJc w:val="left"/>
      <w:pPr>
        <w:ind w:left="0" w:firstLine="0"/>
      </w:pPr>
    </w:lvl>
    <w:lvl w:ilvl="7">
      <w:start w:val="5888"/>
      <w:numFmt w:val="decimal"/>
      <w:lvlText w:val=""/>
      <w:lvlJc w:val="left"/>
      <w:pPr>
        <w:ind w:left="0" w:firstLine="0"/>
      </w:pPr>
    </w:lvl>
    <w:lvl w:ilvl="8">
      <w:start w:val="5888"/>
      <w:numFmt w:val="decimal"/>
      <w:lvlText w:val=""/>
      <w:lvlJc w:val="left"/>
      <w:pPr>
        <w:ind w:left="0" w:firstLine="0"/>
      </w:pPr>
    </w:lvl>
  </w:abstractNum>
  <w:abstractNum w:abstractNumId="5" w15:restartNumberingAfterBreak="0">
    <w:nsid w:val="2B5A4F59"/>
    <w:multiLevelType w:val="multilevel"/>
    <w:tmpl w:val="8B3E6CDA"/>
    <w:lvl w:ilvl="0">
      <w:start w:val="5888"/>
      <w:numFmt w:val="decimal"/>
      <w:lvlText w:val=""/>
      <w:lvlJc w:val="left"/>
      <w:pPr>
        <w:ind w:left="0" w:firstLine="0"/>
      </w:pPr>
    </w:lvl>
    <w:lvl w:ilvl="1">
      <w:start w:val="5888"/>
      <w:numFmt w:val="decimal"/>
      <w:lvlText w:val=""/>
      <w:lvlJc w:val="left"/>
      <w:pPr>
        <w:ind w:left="0" w:firstLine="0"/>
      </w:pPr>
    </w:lvl>
    <w:lvl w:ilvl="2">
      <w:start w:val="5888"/>
      <w:numFmt w:val="decimal"/>
      <w:lvlText w:val=""/>
      <w:lvlJc w:val="left"/>
      <w:pPr>
        <w:ind w:left="0" w:firstLine="0"/>
      </w:pPr>
    </w:lvl>
    <w:lvl w:ilvl="3">
      <w:start w:val="5888"/>
      <w:numFmt w:val="decimal"/>
      <w:lvlText w:val=""/>
      <w:lvlJc w:val="left"/>
      <w:pPr>
        <w:ind w:left="0" w:firstLine="0"/>
      </w:pPr>
    </w:lvl>
    <w:lvl w:ilvl="4">
      <w:start w:val="5888"/>
      <w:numFmt w:val="decimal"/>
      <w:lvlText w:val=""/>
      <w:lvlJc w:val="left"/>
      <w:pPr>
        <w:ind w:left="0" w:firstLine="0"/>
      </w:pPr>
    </w:lvl>
    <w:lvl w:ilvl="5">
      <w:start w:val="5888"/>
      <w:numFmt w:val="decimal"/>
      <w:lvlText w:val=""/>
      <w:lvlJc w:val="left"/>
      <w:pPr>
        <w:ind w:left="0" w:firstLine="0"/>
      </w:pPr>
    </w:lvl>
    <w:lvl w:ilvl="6">
      <w:start w:val="16777216"/>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6" w15:restartNumberingAfterBreak="0">
    <w:nsid w:val="2C1C79B5"/>
    <w:multiLevelType w:val="multilevel"/>
    <w:tmpl w:val="D056149A"/>
    <w:lvl w:ilvl="0">
      <w:start w:val="5888"/>
      <w:numFmt w:val="decimal"/>
      <w:lvlText w:val=""/>
      <w:lvlJc w:val="left"/>
      <w:pPr>
        <w:ind w:left="0" w:firstLine="0"/>
      </w:pPr>
    </w:lvl>
    <w:lvl w:ilvl="1">
      <w:start w:val="5888"/>
      <w:numFmt w:val="decimal"/>
      <w:lvlText w:val=""/>
      <w:lvlJc w:val="left"/>
      <w:pPr>
        <w:ind w:left="0" w:firstLine="0"/>
      </w:pPr>
    </w:lvl>
    <w:lvl w:ilvl="2">
      <w:start w:val="5888"/>
      <w:numFmt w:val="decimal"/>
      <w:lvlText w:val=""/>
      <w:lvlJc w:val="left"/>
      <w:pPr>
        <w:ind w:left="0" w:firstLine="0"/>
      </w:pPr>
    </w:lvl>
    <w:lvl w:ilvl="3">
      <w:start w:val="5888"/>
      <w:numFmt w:val="decimal"/>
      <w:lvlText w:val=""/>
      <w:lvlJc w:val="left"/>
      <w:pPr>
        <w:ind w:left="0" w:firstLine="0"/>
      </w:pPr>
    </w:lvl>
    <w:lvl w:ilvl="4">
      <w:start w:val="5888"/>
      <w:numFmt w:val="decimal"/>
      <w:lvlText w:val=""/>
      <w:lvlJc w:val="left"/>
      <w:pPr>
        <w:ind w:left="0" w:firstLine="0"/>
      </w:pPr>
    </w:lvl>
    <w:lvl w:ilvl="5">
      <w:start w:val="5888"/>
      <w:numFmt w:val="decimal"/>
      <w:lvlText w:val=""/>
      <w:lvlJc w:val="left"/>
      <w:pPr>
        <w:ind w:left="0" w:firstLine="0"/>
      </w:pPr>
    </w:lvl>
    <w:lvl w:ilvl="6">
      <w:start w:val="5888"/>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7" w15:restartNumberingAfterBreak="0">
    <w:nsid w:val="307071AC"/>
    <w:multiLevelType w:val="multilevel"/>
    <w:tmpl w:val="3B24490C"/>
    <w:lvl w:ilvl="0">
      <w:start w:val="23"/>
      <w:numFmt w:val="decimal"/>
      <w:lvlText w:val=""/>
      <w:lvlJc w:val="left"/>
      <w:pPr>
        <w:ind w:left="0" w:firstLine="0"/>
      </w:pPr>
    </w:lvl>
    <w:lvl w:ilvl="1">
      <w:start w:val="23"/>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numFmt w:val="decimal"/>
      <w:lvlText w:val=""/>
      <w:lvlJc w:val="left"/>
      <w:pPr>
        <w:ind w:left="0" w:firstLine="0"/>
      </w:pPr>
    </w:lvl>
    <w:lvl w:ilvl="7">
      <w:start w:val="5888"/>
      <w:numFmt w:val="decimal"/>
      <w:lvlText w:val=""/>
      <w:lvlJc w:val="left"/>
      <w:pPr>
        <w:ind w:left="0" w:firstLine="0"/>
      </w:pPr>
    </w:lvl>
    <w:lvl w:ilvl="8">
      <w:start w:val="5888"/>
      <w:numFmt w:val="decimal"/>
      <w:lvlText w:val=""/>
      <w:lvlJc w:val="left"/>
      <w:pPr>
        <w:ind w:left="0" w:firstLine="0"/>
      </w:pPr>
    </w:lvl>
  </w:abstractNum>
  <w:abstractNum w:abstractNumId="8" w15:restartNumberingAfterBreak="0">
    <w:nsid w:val="44CA4A92"/>
    <w:multiLevelType w:val="multilevel"/>
    <w:tmpl w:val="26340B1C"/>
    <w:lvl w:ilvl="0">
      <w:start w:val="23"/>
      <w:numFmt w:val="decimal"/>
      <w:lvlText w:val=""/>
      <w:lvlJc w:val="left"/>
      <w:pPr>
        <w:ind w:left="0" w:firstLine="0"/>
      </w:pPr>
    </w:lvl>
    <w:lvl w:ilvl="1">
      <w:start w:val="23"/>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numFmt w:val="decimal"/>
      <w:lvlText w:val=""/>
      <w:lvlJc w:val="left"/>
      <w:pPr>
        <w:ind w:left="0" w:firstLine="0"/>
      </w:pPr>
    </w:lvl>
    <w:lvl w:ilvl="6">
      <w:start w:val="65536"/>
      <w:numFmt w:val="decimal"/>
      <w:lvlText w:val=""/>
      <w:lvlJc w:val="left"/>
      <w:pPr>
        <w:ind w:left="0" w:firstLine="0"/>
      </w:pPr>
    </w:lvl>
    <w:lvl w:ilvl="7">
      <w:start w:val="5888"/>
      <w:numFmt w:val="decimal"/>
      <w:lvlText w:val=""/>
      <w:lvlJc w:val="left"/>
      <w:pPr>
        <w:ind w:left="0" w:firstLine="0"/>
      </w:pPr>
    </w:lvl>
    <w:lvl w:ilvl="8">
      <w:start w:val="5888"/>
      <w:numFmt w:val="decimal"/>
      <w:lvlText w:val=""/>
      <w:lvlJc w:val="left"/>
      <w:pPr>
        <w:ind w:left="0" w:firstLine="0"/>
      </w:pPr>
    </w:lvl>
  </w:abstractNum>
  <w:abstractNum w:abstractNumId="9" w15:restartNumberingAfterBreak="0">
    <w:nsid w:val="49BA2FF4"/>
    <w:multiLevelType w:val="multilevel"/>
    <w:tmpl w:val="9DD6B218"/>
    <w:lvl w:ilvl="0">
      <w:start w:val="5888"/>
      <w:numFmt w:val="decimal"/>
      <w:lvlText w:val=""/>
      <w:lvlJc w:val="left"/>
      <w:pPr>
        <w:ind w:left="0" w:firstLine="0"/>
      </w:pPr>
    </w:lvl>
    <w:lvl w:ilvl="1">
      <w:start w:val="5888"/>
      <w:numFmt w:val="decimal"/>
      <w:lvlText w:val=""/>
      <w:lvlJc w:val="left"/>
      <w:pPr>
        <w:ind w:left="0" w:firstLine="0"/>
      </w:pPr>
    </w:lvl>
    <w:lvl w:ilvl="2">
      <w:start w:val="5888"/>
      <w:numFmt w:val="decimal"/>
      <w:lvlText w:val=""/>
      <w:lvlJc w:val="left"/>
      <w:pPr>
        <w:ind w:left="0" w:firstLine="0"/>
      </w:pPr>
    </w:lvl>
    <w:lvl w:ilvl="3">
      <w:start w:val="5888"/>
      <w:numFmt w:val="decimal"/>
      <w:lvlText w:val=""/>
      <w:lvlJc w:val="left"/>
      <w:pPr>
        <w:ind w:left="0" w:firstLine="0"/>
      </w:pPr>
    </w:lvl>
    <w:lvl w:ilvl="4">
      <w:start w:val="5888"/>
      <w:numFmt w:val="decimal"/>
      <w:lvlText w:val=""/>
      <w:lvlJc w:val="left"/>
      <w:pPr>
        <w:ind w:left="0" w:firstLine="0"/>
      </w:pPr>
    </w:lvl>
    <w:lvl w:ilvl="5">
      <w:start w:val="5888"/>
      <w:numFmt w:val="decimal"/>
      <w:lvlText w:val=""/>
      <w:lvlJc w:val="left"/>
      <w:pPr>
        <w:ind w:left="0" w:firstLine="0"/>
      </w:pPr>
    </w:lvl>
    <w:lvl w:ilvl="6">
      <w:start w:val="5888"/>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10" w15:restartNumberingAfterBreak="0">
    <w:nsid w:val="531049AC"/>
    <w:multiLevelType w:val="multilevel"/>
    <w:tmpl w:val="2910BE96"/>
    <w:lvl w:ilvl="0">
      <w:start w:val="23"/>
      <w:numFmt w:val="decimal"/>
      <w:lvlText w:val=""/>
      <w:lvlJc w:val="left"/>
      <w:pPr>
        <w:ind w:left="0" w:firstLine="0"/>
      </w:pPr>
    </w:lvl>
    <w:lvl w:ilvl="1">
      <w:start w:val="23"/>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numFmt w:val="decimal"/>
      <w:lvlText w:val=""/>
      <w:lvlJc w:val="left"/>
      <w:pPr>
        <w:ind w:left="0" w:firstLine="0"/>
      </w:pPr>
    </w:lvl>
    <w:lvl w:ilvl="7">
      <w:start w:val="5888"/>
      <w:numFmt w:val="decimal"/>
      <w:lvlText w:val=""/>
      <w:lvlJc w:val="left"/>
      <w:pPr>
        <w:ind w:left="0" w:firstLine="0"/>
      </w:pPr>
    </w:lvl>
    <w:lvl w:ilvl="8">
      <w:start w:val="5888"/>
      <w:numFmt w:val="decimal"/>
      <w:lvlText w:val=""/>
      <w:lvlJc w:val="left"/>
      <w:pPr>
        <w:ind w:left="0" w:firstLine="0"/>
      </w:pPr>
    </w:lvl>
  </w:abstractNum>
  <w:abstractNum w:abstractNumId="11" w15:restartNumberingAfterBreak="0">
    <w:nsid w:val="5B11637B"/>
    <w:multiLevelType w:val="multilevel"/>
    <w:tmpl w:val="6B565470"/>
    <w:lvl w:ilvl="0">
      <w:start w:val="23"/>
      <w:numFmt w:val="decimal"/>
      <w:lvlText w:val=""/>
      <w:lvlJc w:val="left"/>
      <w:pPr>
        <w:ind w:left="0" w:firstLine="0"/>
      </w:pPr>
    </w:lvl>
    <w:lvl w:ilvl="1">
      <w:start w:val="23"/>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numFmt w:val="decimal"/>
      <w:lvlText w:val=""/>
      <w:lvlJc w:val="left"/>
      <w:pPr>
        <w:ind w:left="0" w:firstLine="0"/>
      </w:pPr>
    </w:lvl>
    <w:lvl w:ilvl="7">
      <w:start w:val="5888"/>
      <w:numFmt w:val="decimal"/>
      <w:lvlText w:val=""/>
      <w:lvlJc w:val="left"/>
      <w:pPr>
        <w:ind w:left="0" w:firstLine="0"/>
      </w:pPr>
    </w:lvl>
    <w:lvl w:ilvl="8">
      <w:start w:val="5888"/>
      <w:numFmt w:val="decimal"/>
      <w:lvlText w:val=""/>
      <w:lvlJc w:val="left"/>
      <w:pPr>
        <w:ind w:left="0" w:firstLine="0"/>
      </w:pPr>
    </w:lvl>
  </w:abstractNum>
  <w:abstractNum w:abstractNumId="12" w15:restartNumberingAfterBreak="0">
    <w:nsid w:val="5E923F49"/>
    <w:multiLevelType w:val="multilevel"/>
    <w:tmpl w:val="4DEE087C"/>
    <w:lvl w:ilvl="0">
      <w:start w:val="23"/>
      <w:numFmt w:val="decimal"/>
      <w:lvlText w:val=""/>
      <w:lvlJc w:val="left"/>
      <w:pPr>
        <w:ind w:left="0" w:firstLine="0"/>
      </w:pPr>
    </w:lvl>
    <w:lvl w:ilvl="1">
      <w:start w:val="23"/>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numFmt w:val="decimal"/>
      <w:lvlText w:val=""/>
      <w:lvlJc w:val="left"/>
      <w:pPr>
        <w:ind w:left="0" w:firstLine="0"/>
      </w:pPr>
    </w:lvl>
    <w:lvl w:ilvl="6">
      <w:start w:val="65536"/>
      <w:numFmt w:val="decimal"/>
      <w:lvlText w:val=""/>
      <w:lvlJc w:val="left"/>
      <w:pPr>
        <w:ind w:left="0" w:firstLine="0"/>
      </w:pPr>
    </w:lvl>
    <w:lvl w:ilvl="7">
      <w:start w:val="5888"/>
      <w:numFmt w:val="decimal"/>
      <w:lvlText w:val=""/>
      <w:lvlJc w:val="left"/>
      <w:pPr>
        <w:ind w:left="0" w:firstLine="0"/>
      </w:pPr>
    </w:lvl>
    <w:lvl w:ilvl="8">
      <w:start w:val="5888"/>
      <w:numFmt w:val="decimal"/>
      <w:lvlText w:val=""/>
      <w:lvlJc w:val="left"/>
      <w:pPr>
        <w:ind w:left="0" w:firstLine="0"/>
      </w:pPr>
    </w:lvl>
  </w:abstractNum>
  <w:abstractNum w:abstractNumId="13" w15:restartNumberingAfterBreak="0">
    <w:nsid w:val="5FAA3DFC"/>
    <w:multiLevelType w:val="multilevel"/>
    <w:tmpl w:val="3D4E4318"/>
    <w:lvl w:ilvl="0">
      <w:start w:val="5888"/>
      <w:numFmt w:val="decimal"/>
      <w:lvlText w:val=""/>
      <w:lvlJc w:val="left"/>
      <w:pPr>
        <w:ind w:left="0" w:firstLine="0"/>
      </w:pPr>
    </w:lvl>
    <w:lvl w:ilvl="1">
      <w:start w:val="5888"/>
      <w:numFmt w:val="decimal"/>
      <w:lvlText w:val=""/>
      <w:lvlJc w:val="left"/>
      <w:pPr>
        <w:ind w:left="0" w:firstLine="0"/>
      </w:pPr>
    </w:lvl>
    <w:lvl w:ilvl="2">
      <w:start w:val="5888"/>
      <w:numFmt w:val="decimal"/>
      <w:lvlText w:val=""/>
      <w:lvlJc w:val="left"/>
      <w:pPr>
        <w:ind w:left="0" w:firstLine="0"/>
      </w:pPr>
    </w:lvl>
    <w:lvl w:ilvl="3">
      <w:start w:val="5888"/>
      <w:numFmt w:val="decimal"/>
      <w:lvlText w:val=""/>
      <w:lvlJc w:val="left"/>
      <w:pPr>
        <w:ind w:left="0" w:firstLine="0"/>
      </w:pPr>
    </w:lvl>
    <w:lvl w:ilvl="4">
      <w:start w:val="5888"/>
      <w:numFmt w:val="decimal"/>
      <w:lvlText w:val=""/>
      <w:lvlJc w:val="left"/>
      <w:pPr>
        <w:ind w:left="0" w:firstLine="0"/>
      </w:pPr>
    </w:lvl>
    <w:lvl w:ilvl="5">
      <w:start w:val="5888"/>
      <w:numFmt w:val="decimal"/>
      <w:lvlText w:val=""/>
      <w:lvlJc w:val="left"/>
      <w:pPr>
        <w:ind w:left="0" w:firstLine="0"/>
      </w:pPr>
    </w:lvl>
    <w:lvl w:ilvl="6">
      <w:start w:val="5888"/>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14" w15:restartNumberingAfterBreak="0">
    <w:nsid w:val="6ABD2A1A"/>
    <w:multiLevelType w:val="multilevel"/>
    <w:tmpl w:val="D1F64004"/>
    <w:lvl w:ilvl="0">
      <w:start w:val="5888"/>
      <w:numFmt w:val="decimal"/>
      <w:lvlText w:val=""/>
      <w:lvlJc w:val="left"/>
      <w:pPr>
        <w:ind w:left="0" w:firstLine="0"/>
      </w:pPr>
    </w:lvl>
    <w:lvl w:ilvl="1">
      <w:start w:val="5888"/>
      <w:numFmt w:val="decimal"/>
      <w:lvlText w:val=""/>
      <w:lvlJc w:val="left"/>
      <w:pPr>
        <w:ind w:left="0" w:firstLine="0"/>
      </w:pPr>
    </w:lvl>
    <w:lvl w:ilvl="2">
      <w:start w:val="5888"/>
      <w:numFmt w:val="decimal"/>
      <w:lvlText w:val=""/>
      <w:lvlJc w:val="left"/>
      <w:pPr>
        <w:ind w:left="0" w:firstLine="0"/>
      </w:pPr>
    </w:lvl>
    <w:lvl w:ilvl="3">
      <w:start w:val="5888"/>
      <w:numFmt w:val="decimal"/>
      <w:lvlText w:val=""/>
      <w:lvlJc w:val="left"/>
      <w:pPr>
        <w:ind w:left="0" w:firstLine="0"/>
      </w:pPr>
    </w:lvl>
    <w:lvl w:ilvl="4">
      <w:start w:val="5888"/>
      <w:numFmt w:val="decimal"/>
      <w:lvlText w:val=""/>
      <w:lvlJc w:val="left"/>
      <w:pPr>
        <w:ind w:left="0" w:firstLine="0"/>
      </w:pPr>
    </w:lvl>
    <w:lvl w:ilvl="5">
      <w:start w:val="5888"/>
      <w:numFmt w:val="decimal"/>
      <w:lvlText w:val=""/>
      <w:lvlJc w:val="left"/>
      <w:pPr>
        <w:ind w:left="0" w:firstLine="0"/>
      </w:pPr>
    </w:lvl>
    <w:lvl w:ilvl="6">
      <w:start w:val="5888"/>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15" w15:restartNumberingAfterBreak="0">
    <w:nsid w:val="73432B4C"/>
    <w:multiLevelType w:val="multilevel"/>
    <w:tmpl w:val="74986610"/>
    <w:lvl w:ilvl="0">
      <w:start w:val="5888"/>
      <w:numFmt w:val="decimal"/>
      <w:lvlText w:val=""/>
      <w:lvlJc w:val="left"/>
      <w:pPr>
        <w:ind w:left="0" w:firstLine="0"/>
      </w:pPr>
    </w:lvl>
    <w:lvl w:ilvl="1">
      <w:start w:val="5888"/>
      <w:numFmt w:val="decimal"/>
      <w:lvlText w:val=""/>
      <w:lvlJc w:val="left"/>
      <w:pPr>
        <w:ind w:left="0" w:firstLine="0"/>
      </w:pPr>
    </w:lvl>
    <w:lvl w:ilvl="2">
      <w:start w:val="5888"/>
      <w:numFmt w:val="decimal"/>
      <w:lvlText w:val=""/>
      <w:lvlJc w:val="left"/>
      <w:pPr>
        <w:ind w:left="0" w:firstLine="0"/>
      </w:pPr>
    </w:lvl>
    <w:lvl w:ilvl="3">
      <w:start w:val="5888"/>
      <w:numFmt w:val="decimal"/>
      <w:lvlText w:val=""/>
      <w:lvlJc w:val="left"/>
      <w:pPr>
        <w:ind w:left="0" w:firstLine="0"/>
      </w:pPr>
    </w:lvl>
    <w:lvl w:ilvl="4">
      <w:start w:val="5888"/>
      <w:numFmt w:val="decimal"/>
      <w:lvlText w:val=""/>
      <w:lvlJc w:val="left"/>
      <w:pPr>
        <w:ind w:left="0" w:firstLine="0"/>
      </w:pPr>
    </w:lvl>
    <w:lvl w:ilvl="5">
      <w:start w:val="5888"/>
      <w:numFmt w:val="decimal"/>
      <w:lvlText w:val=""/>
      <w:lvlJc w:val="left"/>
      <w:pPr>
        <w:ind w:left="0" w:firstLine="0"/>
      </w:pPr>
    </w:lvl>
    <w:lvl w:ilvl="6">
      <w:start w:val="16777216"/>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abstractNum w:abstractNumId="16" w15:restartNumberingAfterBreak="0">
    <w:nsid w:val="745A7B82"/>
    <w:multiLevelType w:val="multilevel"/>
    <w:tmpl w:val="08004412"/>
    <w:lvl w:ilvl="0">
      <w:start w:val="23"/>
      <w:numFmt w:val="decimal"/>
      <w:lvlText w:val=""/>
      <w:lvlJc w:val="left"/>
      <w:pPr>
        <w:ind w:left="0" w:firstLine="0"/>
      </w:pPr>
    </w:lvl>
    <w:lvl w:ilvl="1">
      <w:start w:val="23"/>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numFmt w:val="decimal"/>
      <w:lvlText w:val=""/>
      <w:lvlJc w:val="left"/>
      <w:pPr>
        <w:ind w:left="0" w:firstLine="0"/>
      </w:pPr>
    </w:lvl>
    <w:lvl w:ilvl="7">
      <w:start w:val="5888"/>
      <w:numFmt w:val="decimal"/>
      <w:lvlText w:val=""/>
      <w:lvlJc w:val="left"/>
      <w:pPr>
        <w:ind w:left="0" w:firstLine="0"/>
      </w:pPr>
    </w:lvl>
    <w:lvl w:ilvl="8">
      <w:start w:val="5888"/>
      <w:numFmt w:val="decimal"/>
      <w:lvlText w:val=""/>
      <w:lvlJc w:val="left"/>
      <w:pPr>
        <w:ind w:left="0" w:firstLine="0"/>
      </w:pPr>
    </w:lvl>
  </w:abstractNum>
  <w:abstractNum w:abstractNumId="17" w15:restartNumberingAfterBreak="0">
    <w:nsid w:val="793F4A0C"/>
    <w:multiLevelType w:val="multilevel"/>
    <w:tmpl w:val="D2DE46B4"/>
    <w:lvl w:ilvl="0">
      <w:start w:val="23"/>
      <w:numFmt w:val="decimal"/>
      <w:lvlText w:val=""/>
      <w:lvlJc w:val="left"/>
      <w:pPr>
        <w:ind w:left="0" w:firstLine="0"/>
      </w:pPr>
    </w:lvl>
    <w:lvl w:ilvl="1">
      <w:start w:val="23"/>
      <w:numFmt w:val="decimal"/>
      <w:lvlText w:val=""/>
      <w:lvlJc w:val="left"/>
      <w:pPr>
        <w:ind w:left="0" w:firstLine="0"/>
      </w:pPr>
    </w:lvl>
    <w:lvl w:ilvl="2">
      <w:start w:val="23"/>
      <w:numFmt w:val="decimal"/>
      <w:lvlText w:val=""/>
      <w:lvlJc w:val="left"/>
      <w:pPr>
        <w:ind w:left="0" w:firstLine="0"/>
      </w:pPr>
    </w:lvl>
    <w:lvl w:ilvl="3">
      <w:start w:val="23"/>
      <w:numFmt w:val="decimal"/>
      <w:lvlText w:val=""/>
      <w:lvlJc w:val="left"/>
      <w:pPr>
        <w:ind w:left="0" w:firstLine="0"/>
      </w:pPr>
    </w:lvl>
    <w:lvl w:ilvl="4">
      <w:start w:val="23"/>
      <w:numFmt w:val="decimal"/>
      <w:lvlText w:val=""/>
      <w:lvlJc w:val="left"/>
      <w:pPr>
        <w:ind w:left="0" w:firstLine="0"/>
      </w:pPr>
    </w:lvl>
    <w:lvl w:ilvl="5">
      <w:start w:val="23"/>
      <w:numFmt w:val="decimal"/>
      <w:lvlText w:val=""/>
      <w:lvlJc w:val="left"/>
      <w:pPr>
        <w:ind w:left="0" w:firstLine="0"/>
      </w:pPr>
    </w:lvl>
    <w:lvl w:ilvl="6">
      <w:numFmt w:val="decimal"/>
      <w:lvlText w:val=""/>
      <w:lvlJc w:val="left"/>
      <w:pPr>
        <w:ind w:left="0" w:firstLine="0"/>
      </w:pPr>
    </w:lvl>
    <w:lvl w:ilvl="7">
      <w:start w:val="5888"/>
      <w:numFmt w:val="decimal"/>
      <w:lvlText w:val=""/>
      <w:lvlJc w:val="left"/>
      <w:pPr>
        <w:ind w:left="0" w:firstLine="0"/>
      </w:pPr>
    </w:lvl>
    <w:lvl w:ilvl="8">
      <w:start w:val="5888"/>
      <w:numFmt w:val="decimal"/>
      <w:lvlText w:val=""/>
      <w:lvlJc w:val="left"/>
      <w:pPr>
        <w:ind w:left="0" w:firstLine="0"/>
      </w:pPr>
    </w:lvl>
  </w:abstractNum>
  <w:abstractNum w:abstractNumId="18" w15:restartNumberingAfterBreak="0">
    <w:nsid w:val="7FF40983"/>
    <w:multiLevelType w:val="multilevel"/>
    <w:tmpl w:val="1ABC119E"/>
    <w:lvl w:ilvl="0">
      <w:start w:val="5888"/>
      <w:numFmt w:val="decimal"/>
      <w:lvlText w:val=""/>
      <w:lvlJc w:val="left"/>
      <w:pPr>
        <w:ind w:left="0" w:firstLine="0"/>
      </w:pPr>
    </w:lvl>
    <w:lvl w:ilvl="1">
      <w:start w:val="5888"/>
      <w:numFmt w:val="decimal"/>
      <w:lvlText w:val=""/>
      <w:lvlJc w:val="left"/>
      <w:pPr>
        <w:ind w:left="0" w:firstLine="0"/>
      </w:pPr>
    </w:lvl>
    <w:lvl w:ilvl="2">
      <w:start w:val="5888"/>
      <w:numFmt w:val="decimal"/>
      <w:lvlText w:val=""/>
      <w:lvlJc w:val="left"/>
      <w:pPr>
        <w:ind w:left="0" w:firstLine="0"/>
      </w:pPr>
    </w:lvl>
    <w:lvl w:ilvl="3">
      <w:start w:val="5888"/>
      <w:numFmt w:val="decimal"/>
      <w:lvlText w:val=""/>
      <w:lvlJc w:val="left"/>
      <w:pPr>
        <w:ind w:left="0" w:firstLine="0"/>
      </w:pPr>
    </w:lvl>
    <w:lvl w:ilvl="4">
      <w:start w:val="5888"/>
      <w:numFmt w:val="decimal"/>
      <w:lvlText w:val=""/>
      <w:lvlJc w:val="left"/>
      <w:pPr>
        <w:ind w:left="0" w:firstLine="0"/>
      </w:pPr>
    </w:lvl>
    <w:lvl w:ilvl="5">
      <w:start w:val="5888"/>
      <w:numFmt w:val="decimal"/>
      <w:lvlText w:val=""/>
      <w:lvlJc w:val="left"/>
      <w:pPr>
        <w:ind w:left="0" w:firstLine="0"/>
      </w:pPr>
    </w:lvl>
    <w:lvl w:ilvl="6">
      <w:start w:val="16777216"/>
      <w:numFmt w:val="decimal"/>
      <w:lvlText w:val=""/>
      <w:lvlJc w:val="left"/>
      <w:pPr>
        <w:ind w:left="0" w:firstLine="0"/>
      </w:pPr>
    </w:lvl>
    <w:lvl w:ilvl="7">
      <w:start w:val="23"/>
      <w:numFmt w:val="decimal"/>
      <w:lvlText w:val=""/>
      <w:lvlJc w:val="left"/>
      <w:pPr>
        <w:ind w:left="0" w:firstLine="0"/>
      </w:pPr>
    </w:lvl>
    <w:lvl w:ilvl="8">
      <w:start w:val="23"/>
      <w:numFmt w:val="decimal"/>
      <w:lvlText w:val=""/>
      <w:lvlJc w:val="left"/>
      <w:pPr>
        <w:ind w:left="0" w:firstLine="0"/>
      </w:pPr>
    </w:lvl>
  </w:abstractNum>
  <w:num w:numId="1">
    <w:abstractNumId w:val="17"/>
  </w:num>
  <w:num w:numId="2">
    <w:abstractNumId w:val="14"/>
  </w:num>
  <w:num w:numId="3">
    <w:abstractNumId w:val="5"/>
  </w:num>
  <w:num w:numId="4">
    <w:abstractNumId w:val="8"/>
  </w:num>
  <w:num w:numId="5">
    <w:abstractNumId w:val="11"/>
  </w:num>
  <w:num w:numId="6">
    <w:abstractNumId w:val="16"/>
  </w:num>
  <w:num w:numId="7">
    <w:abstractNumId w:val="13"/>
  </w:num>
  <w:num w:numId="8">
    <w:abstractNumId w:val="4"/>
  </w:num>
  <w:num w:numId="9">
    <w:abstractNumId w:val="2"/>
  </w:num>
  <w:num w:numId="10">
    <w:abstractNumId w:val="18"/>
  </w:num>
  <w:num w:numId="11">
    <w:abstractNumId w:val="7"/>
  </w:num>
  <w:num w:numId="12">
    <w:abstractNumId w:val="15"/>
  </w:num>
  <w:num w:numId="13">
    <w:abstractNumId w:val="1"/>
  </w:num>
  <w:num w:numId="14">
    <w:abstractNumId w:val="6"/>
  </w:num>
  <w:num w:numId="15">
    <w:abstractNumId w:val="10"/>
  </w:num>
  <w:num w:numId="16">
    <w:abstractNumId w:val="0"/>
  </w:num>
  <w:num w:numId="17">
    <w:abstractNumId w:val="3"/>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A2B"/>
    <w:rsid w:val="00A25CF8"/>
    <w:rsid w:val="00E7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1B3B"/>
  <w15:docId w15:val="{4336D9FF-DB23-4BC8-BDEE-9326E0DB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4AE"/>
    <w:rPr>
      <w:rFonts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cs="Arial"/>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25C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8.png"/><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atsdr.cdc.gov/toxprofiles/index.asp" TargetMode="External"/><Relationship Id="rId12" Type="http://schemas.microsoft.com/office/2011/relationships/commentsExtended" Target="commentsExtended.xml"/><Relationship Id="rId17" Type="http://schemas.openxmlformats.org/officeDocument/2006/relationships/image" Target="media/image7.png"/><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16.png"/><Relationship Id="rId20" Type="http://schemas.openxmlformats.org/officeDocument/2006/relationships/hyperlink" Target="http://www.atsdr.cdc.gov/toxprofiles/index.asp" TargetMode="External"/><Relationship Id="rId29" Type="http://schemas.openxmlformats.org/officeDocument/2006/relationships/image" Target="media/image5.png"/><Relationship Id="rId1" Type="http://schemas.openxmlformats.org/officeDocument/2006/relationships/customXml" Target="../customXml/item1.xml"/><Relationship Id="rId11" Type="http://schemas.openxmlformats.org/officeDocument/2006/relationships/comments" Target="comments.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5.png"/><Relationship Id="rId23" Type="http://schemas.openxmlformats.org/officeDocument/2006/relationships/image" Target="media/image10.png"/><Relationship Id="rId28" Type="http://schemas.openxmlformats.org/officeDocument/2006/relationships/image" Target="media/image2.png"/><Relationship Id="rId10" Type="http://schemas.openxmlformats.org/officeDocument/2006/relationships/hyperlink" Target="https://www.health.ny.gov/environmental/weather/docs/climatehealthprofile6-2015.pdf" TargetMode="External"/><Relationship Id="rId19" Type="http://schemas.openxmlformats.org/officeDocument/2006/relationships/hyperlink" Target="http://www.atsdr.cdc.gov/toxprofiles/index.as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2.png"/><Relationship Id="rId14" Type="http://schemas.openxmlformats.org/officeDocument/2006/relationships/image" Target="media/image14.png"/><Relationship Id="rId22" Type="http://schemas.openxmlformats.org/officeDocument/2006/relationships/image" Target="media/image9.png"/><Relationship Id="rId27" Type="http://schemas.openxmlformats.org/officeDocument/2006/relationships/image" Target="media/image1.png"/><Relationship Id="rId3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mf+FMDqaIa4QLRqiuTBG4owcKw==">AMUW2mWbzS5ikt2nAwPjMXUhHsAitae9vdBwEwvVEfd99NE18FqhkWIe3iEtosgQM7kJ/sHFJFbwO321b33wxPx7PYIl4PbmIOUkyZ6wlrEGYEQkjoEa73c+itbu5mXMM9Ak3CIGXYyRIYj/8vuxQMLTrB92A8cIfRmvllWRJrwyXUtAKycFguf8u3ySd3FnM9FzEuzM3ujqMdAn7cjbHOSVr9sls4rqA7UCEQ6fJJ5v6KnA0UcATN1/gM0IQATEc4T8UbHiTrkKS1Z+F+Q1E5cjHjPjincp9z5200SSj52vUNyMOu3Fc3kH1QuWGYsbbMAPT3gvQeMTcPoou+/OQEi/yg7WsFJG0h9pFHr+idRf2wQqez/phvzex3hzNFHPIFC9QFZSLV/Sa3OfB4TUzTyalXLor/Ady4nO5+3Q0qH21FGB/QEYixMNRefwQJgt4MdkZ54z282Ai3CgPSARaE1sZvJDB19S/fD/ujNP7FTnlc5GoaBGU9sqkfccegc2sLAp5tdeQSptUQaFEPr7zY2AM7HyGyPkZUPyBWer2UEJW24TZMyQgHT6OLR6d7pfC8tWa9drH/Pw7iUjOMt814crKn3ryNDRGxezyehljAxWXbszYtNHmxAQmvDKcsQm4e/Wj1zhf35xL2I5YCv5XBNH3t7AGo2EZfXR5zUwNHKCr25F6m/W6K4gGjf/HB68W4t05pWiqIHn5ENB0wjiXcJbQ0+fOH76d+5yaB3PqXxRX43owVsoSup8JKhLzJKn0eyNz+bqnm6PIeRD/uPNZwwJNltisyfQ5e7qXX91sFeW2bHdLRgqdk/WLkPXhOlXQB9ocxHTWOQR7UyoKBGRZyRcgfzeLFSaCR3AM5WY7xkAfzJdg1rQrHjGVy9sdMDS+zPPR4mVWEzrMo65a7FBn1tTvXS1CB/7dTw/tuZDbBnL8haW5Oyen64jHCDUvLWbfFfp9ecggu6VqBpEMDe7XI7u8H4xjw9z0grcOYsB9rkkLolkfx6zcnR0fSA0WnG/Y3+RCCDAVjJhoywG2NZIxYS09QC/h7BRBhOHzwZkSl6uxtyAIviggqKjnygS/Zp/3xVCJcQIY0kCRKM/PK6aiDgrH2OWkNQtLy1NRfm/HPfasl391Itcmat3dfuVyV4GH0iyuZilqkUZTK29BseG0Akzi7/rCaAvLr/hfIn1mLJwIBLECZR0MhQv25tbGwrrn8J5ZSaxoHVUyRNi7jj48i2Hd3ZWe1JYdGoAx0icB/6v1g8+Dny9EBEpGUKyH0/gQ08Zye9Ojoru6DrMukgtIohw9pyhcESZMxnKwKLHkyEUv3zvMraPKkyNrBzZUjJy2RlHJgObfdLOjvQFNOVd8eVPXEPpiDB/Nn95TloDTc1qtyw5QQKudszeFa46sukFg29maqVHT4flL7gW5lUHinKOvCHizJBEpMjJHOFOqFov+qObAUQNjxAGUO5bhvxq02GplDEFcqe1mvxlrKtu25o9FDsqHT86x+DeyXJOyxfiPeepES5noOHGDkFFPkiBVT0USu46S2mOlXOL+hCK9zwmNIXOeOWN89PNxaauSnWLGuHG0Q5EcOEcJDKgL+6B9mu7q+w4tmvRvnsYjTHIHlt+b/VCNOCw4fbIoV4hkOA7pEXdNmV8X+e+w5ShiFvDcmEvyRuY0fiI51oWcxrgIXo/0tEw7qzCEWS5a0dSriIEwJkdRywkmpJCwJ3xsQpMeL61kgSX6U2KA4pwopDyr9E4KAkAJwkByn5cRvrMl1psSnctFbf4u1RmFKxdIsvjvra6sfaiGDkA+w2tRv7alkiMDXHpXN3TioinyytSF2qrwYGpECpjxSHn3PEuL/jsTQ54sUcZJNDXQd5KQaw1SpKZW//BrV6QfhlSd5pV8pEVb3Rfrm+eRiH5zPrQ3lsygkn6sVK8zFmHEiFLWliLvAsTImSr60x7BuIIeJaIu7Xk9PEO1UaPX5q5jEoHDe0Qw0Xp9BcTDGCjBklE68WkfTfs0mSvypsjQgoM/A1qu3kj82bXKFAh8pNxQArNS9h+CKD0sayV7imEe7fzJVpa4Y2tlc+YCB3Yj73fM05rFBgx+cvoxIHJD6nv9hVxaIqY7OxLJTfPcMXxA+xVny8jC7yn31Q9uyT5F+WIpgyYiu/Bf6CEQsnQgn7c+0pt0EtqNx9NcO1zyiUU3c0BC3zxKACZfNFThmIq9xyA6SDcElLqKMFmnArQnPT5CasX/LDVnuRgiFfOb58TFmonCcbSJa1eLFKgF8ZClnjEtcJR5l1xgssPnpO17+2lSX1aqK4I+nduk5qHuKng/T39UYTaE5ujmg2ioDxca17THWYtrviEZ/Z17iEknVLJ4Juq44elwB4XUm7h0/6vZ4i8VrTcdIQ3fL2xa1hXr0Avx32JmprZGUqa1t93MX2K4iA09Q+oFXDEv+xdqzo4MxJJLyVodoJYO3yQWN7aOXnIfM6S8wXilMnXcoCOFjwoKtL9cTlwSZzDoBGSYHB1aFGsBthm2vYye7JapAss28BompdlOVls8WBQFI/oLalIx5bAWghzxaooA0hKK69mNBFUavy7jOUslyYr7ftnKOid43McjKHfBHuAiyktL/d7ghAuHumLbF36yj+4z34xuA1HAvpw+kn8dP8g+SmyZayZ/VSdmpjEdOG+ETJP6QfEFnEIuyn7Pzey7kQW7TpNlsA6vt8okait10XLGb2WEmSjaIXAaP1vfcq97VnOB04fedbMfGacC6r99amQJimesxyn52QlqIIDwaUkWpZdKgLSzFFFAY7awMu9RNQUy372TL8VnWuPosJ2OwQ9fj3x6gaFLINspAe9se2iHoNccR16GvI1BIi2a5lPJbKSGBISLE87zuw2OOtqvXEVFSWk22pdJcSJRZr9dziXBd9uBB0112ORUUlJ5nqAibNVepSRcCK6oApiFOJ/c/ChnF0xqJKgSrRj2i7dJ5eQac2GatgJ016NxxcoGQPuQrv3FXlf6vu3+FZTGXO93NVY4pi7XX5PU01wpDsDH13Gdyk1FhwNowiN3kxVVDZUyoJk+a7/ubpSGmDJD1Ee933LyTUyyd12FkZqEa4+R3AdVjlrFWkdMQrrXNPscxgjQSe1ramSmYFgceVYzdIP8yPpJ7MMv4qDPDhrT7g0z1+OGWh/20ix36+mCGJolHXctLOwreAEiYVjXmuAfONdB/X3tkA+7Bp3Sy1DitORWt7EgdeMrXH+z0iesIyeZXOcwM1s4/0uTa0JGVBRDrziuP8hFiIJLZgfaTYTlvgMz69oyPqVv+e4UXsmUmce8HcbZ4Z51N2MDpiS94cJIi2xrylq8R6VYBG4bV+d6LKydLB9EnKgdQGr2sCpkCkhMu5JNDU4Ioiz+lzCsqJBZNArP27Vfvg/K01UjpulzzrloQYWCKT70iQ5wVT+Xx9ywnwbFV6v6HDcb/FlY7JnRTk0j0XR7PgEfR40PvY4amN7KeH78byUMTltYpdH4Tzu/6li/AIPqChOjBML1wkqoTdaOaPXeZ/G4X0v3BXs53AZU6Z9EiP+54y56Gp1h3I0JbnPIEVyAMBlcfCLr0Paqhy79RlrllNAKAkdmV+TWvXUiAQpwWf5XBV5gMRNGxIB6MEzpWL0p22ndftJLeR00EyGKDQ6BP1baAIm7raWB5GUS+fccy3KNE87J//ek8I9g0zH3YAeQINKmZzoBkybQ5W3TRB3RCf3Dg2iOtYnwEM83PQpF7nR10loho2ZAGpabBPwi0+DERsVAqHWZMbH5WSn8DsSyfUm/CB07MtgOHQILjo5PXu3SfmkA2dlNO7btWbH6NEayrFPmHErGwWrIVzHQM6ak0TxEQf1MIP7lI3uujLoHk8Kn9KIXjMvjqXeunfYzJANIRcODJSL9sELmiau9I0IwFkPAOKMEN/b/89/1HHVxbBZfqNf1gaYNF+FPsL/9ssaDJRbBjHVFLYt/sRBkSkn0xYr6BtphPhiAIXKf+mSIkYuLpv8IvmIr01sek+MNFSLEC2VoF25mxKFrGQqJz3C9yaKeAFuXR3K/v7zwMgnaAEn0DwzHkqJQqT/ENO/b5K9Lcf9aKCCuVN66GxyAEnCKKjOacWPcXDaO0JsPSAYvffa3GJajQQ4EyCCISUQ42Dm1vU3oQrqweSnNbQByu3YTC9hHugSmdEgvX3gyKjU69tyXr7XW1+y0hdykweZ5uB07OPfqevwKYWUjoByFNNinW48KQZEGHezU538QV2lMy8KLf0B8BQlM06Ahh2t756IiJKPtAqqOE6rue41hZV3gffKxEuKDs/LZ8hi3MwPxHoQYuuFlvOy/I1KGRIc1zF+dYcy7/P40Ll7j5Yf+k+uAiKshwby6JYvzHm69IeBXC1VcDwZ4cKU0DUMg7+HBECw8KuCgh3ilzR5/puk8A5xnn+6W9OveJjUeFCOo5TdjW6BrBti84gu0TNMy6Y1rFgne2MnAyTLEYRog9Qky8LRWlHE1sR6R3C/QPhmwpytho2g5tij8z5JzJtUcO0K/pglLPCNQNs2p5BuOwo4AVl7AJElWeFdK/jgLLdVseUfMTJgQRIkNdjzYQIsk8zJjtgG0vd1ElhF3bkooUrO93jw5cTIleSWsQCUHm6gA26sz2bGQDsVObvscA5QIFcAnHY3IGWObAqv2RZWQNXJQiTBW5nc8nFP43j5D+YeYbSplqhdV/RpDcOfxobb92RFSIHjIIb29q6GFd6krmY9DrE8udpO0z41T6T8Lv9ADkT/3Fmhw5xEXQj7ERCZsEy3N69LiAh6GgfS/OqEvzaH4ojxOduD9LGrsneaofLoZiW4ziOSpUhGX8WmjxdN6YVV/NZeLp/aQXLslxNMhfDEMzS2HRFF+Rc1si2BUUt2rfjSMoqZ9BhnKR4RkS5I8MO5O4wNSIlI2qQbbrYeDomz7ISJ6kIcprBj/KHtRUo9DAHfcPft3bV2AWoJ0ruN3btuhHsJAQZiXFJr+JR8/iQdB9J/x9WX6pvA/xelyJg5EdNpkOow87p0GiZVEMbUIJhD4Ykkrizt3PH6w4buWOrqDwcBZaTw6ILGmVNrbDNKsGqmGhW8BHENak5RIbfASJQ3oYlLgeW/+GjfhlsKCgUSTLc9LrFawnEzicr+U1gpAY9DCi7Ltac/Umf3Hex6c54BtQOSK50/H+Uz+p8w8cdSdsJZKGl70yvUJC5PIegL/UyXHLN4BC3uduJmHl6JPQYDYefntBMVfCSiHRx1aQ2TowuBeHsrR6ikMfpEiMH1oNeve93mPc4UhwzRNbsE9qGNdYU02WXBG/SjvmBRBSIYsvVww5OYE7lOF3+pP/bcimmHQeJg5VCeHo/Y3xGKfcmxHJmJ/bCOwFUbtitxihC4IVjakR8a8hMBX5anns+mkXrRFEJ7z5rB8mBBzltg4sC/6jlqPeRXSy2lb3PzgfhMfdBdGg4aw+Om+nEvBL5UnlwAg460hH63Ym7U6hdsb8MxP7YkuMcolFQ/Msed5C1d16ausqVml45v+e4TnOf8ucBVgt+snDZzqS/qF8nQbhVsMtQtlWot3guKuo4eJEsmMbhzt54Ug7gi831uzTnke9Bf921sXWfJpp10IxmvdEh1udhQv3ah5I3ZK77B60Wc+T2h04pvS1TcWbeB++bzGz+HLNRCvaBUFXvgC9WNqASVEigJ5rJKTbOjXvDg855ZSBApSgqrxmUzaqpdhhM1JfN1e0qBkEQOgmV3FveCgiPoqcXi1PMNXmHyn/F1RCqUHXx1JCJmOEGQw0fntR9V41o+RWyu2GezCI00kejk3HQxyE2hEXcviabIRt/nQNejA8hkSwi7Rc+cv5yZK0SUTlWPz6V3jyw6xc+oBs+hq2IZ9Scvi4+4nJzSrWIlgC2JTrH3I8CDDB75M3tK/SsjMm4wi2O+MRDk77VvpNpupDKUHFy9Co8Fd5CH8OBsh6Kqlj+XEgf3mSDugimWQNIhLZ5GF69Vr5KuvBd81qCeCVuxE00FlnRYgdUUrrK6YxYykZwKaeuLyE3ktp+6akNiJfcpWRByfpEScTn15EP1Hao/Dz+8c/cz88BQWO1nUhpxTz/TfS5qPvutIHW+9OBylWcCXVrp/RyDWaASN8EwDCld08IzFF6IX7YtN1R7zwYXa9qQPr0dgfJd38VbUE0NOdWxuACtu1km9zJq/OWNbGhW4hFq4cnZ1IvlddhPH0K1infXJr0mgNARwL7Kw6mpKzfVf3nTV8v1njDe/6crsxPODNuUjMI6CPS6pVS4qUxep1wh4EXStszuI4r27EX4Dg1TWpNlio8GkUIPM7JZjfIsjHn0BgbA2e7N0SGt9cbjNGJGYubIamiNyiRUTHr9OXHT0mVb8h/V0q7GGAQhLbvkMOvD70Azo1M/l0q6Lb/eAK1XI4J6bEGUmXxOCkawj94sQ2lOtRUKjmZnNDpYqcZrpMbSDyMBjSsN85xOiKWhknccQA8893xWszgzm46oSzAddT6JTwstFKSGxIaDNl6ThE2PF02MQq4cuxhZYDQ+ObQtG0IvD+1uAYJpB2e0oyeLddAy6fK+/XPLQIfknGB+t44VRi/4y8lec4XIbGMM2Vy9hjQLE6GlOuD+OKtZEsVPQUITMBLANHg9uh/7kQkkXaDYVOp+cojP8w1YAbiLOJwhpQklGEbmvChiUIAikYXz53/GYonHOLCtk5wERKVhZHmcxahyWe2v+3kb9rmRzQo0JmW9elI/n3QlTLByPfqFZClra8h1bbvr2CYbZ8X6qvmwAZovQI7jtzJy1RW5Rg4nGyZVFNxb68eWmLo1qGQCKGmpnqYGu1+ISHiM9cRPr6xmp0gvieF850s9xZZNw6FLnMdmrK5W+8iXAmR1J9XTSV+kzlwQcmJyW+IRnatRCbI0Kc/SlV+5O1I3XZcc9xFDgVWCBQBpwQOKuI2Dm7zuEBY//1M2eEZc8UWnEsnDMqQZY7Falnl3FPKsK/67toNM5EaYz6BJfNEVI+9H3Z5Aa1c0z6IBqS0rjYLisIiBghJHoiKn+IU7YXSWDWsi9a6MWK+C2iXfR/sTrUwAiYLoI6v1/sgLaz8r+A6MtYyt7gmECzAmpp9wgMKkWv0Kve/ODQ53CHV7zufvTzwLsE1x61Zq6p44kdQsTMOAA8Clk0TdYxBjPMcL5+dGtkTgKhkORZk2b4Xu/DNSLxOqSX+/fxMFaFGX/8VzxDnfohhLlOvelA36o5xe8Monn4QF2e5fkBfRqID+TmHUhhOAZ+y6WyFSZ3Yiy5p77oa0P/IaA/b5Ebp0sfo1M7/gbkC6EH6g1j72/owd4BUb8z1h6MglmyZ2Gwe4OJet6w8DctzNN3AqlrYO5SEHjAigZQLMglOXviu1MOm2eNL1im8N92G3jZy3khcQgJAZl/CnjkeokznGVUPbKzQ96I9AivntMgqk/uET1CttcY0S+CVj4dQAKSwk15cANcgyyrLnAwrgNQLiewQ8O7pH4SoygopsWvhGiFtCRfpSNzDguvZMXtYSruntX/aOIxb1WEgHqV+y9iRnnte/Zgy6HLf+9XGKkOLK8BCwTJR2JWEDC0wyhyRv4AmUOGCbknpedSZZaWx6CaXjIlxSCk6myyoPRita8/e8iUxRzkw7w8z7ep4YB068Egv8zdVOKPBRgfj0gQ2TA0iR7T8VibhScfSL7mYjUq4bSO0NO9ZjiZ3rJPnq/573YLqGeB3hFkb9SEzJWn+kqdFV8sb77XdVzXwaMs6/G7KPnvYvm6tilWPAE2mTOUjFf8mwQWv/I3uIepBLVnu5YNLsXbq17p8PrToibE7BISUolzKoCQ/XODwpwnEwOoJLQz+uLqIXfRMnQ+mUn91rRunYTwia3a+XrniKDRPpJLYbh84bKS/5PnLzDQSjmWXLN3Qs8NCJR1bBhvPqeB+Ob/ZRl2OOiRLXkOTGUiSEO4YH0HlzSRYMmKZuXlz/DQnAD8g2MOWIPvwJ1/QEQysnT1nppWAyq/dkYF/Dl6vaxKfCCiX8haaBk/2eGe0qd2JdLOMNsNbH4fPg/+q2DRZeY4gKT8ySvaC1yu6yfUbDyCfhsVUgVeDpMS9n4EL9fVOHjvXt4MyX7dCb/n00YxHvp95E0WhWwougM6rDFBob8RnNSuT/YHJYyYkEqsK/OxXuuswvEY+gvbAydI5r5gdxi1haiIlFht6nN60BzDrQQARF/29DkxiHxE9MxZHWT1Zx/3ntVhcdW+yXVgdPnbEo21NMbhw4UkoPvV1fVggjbpxgSCbbUgw/G09YQim11Z0YkAl3R77LZ2wzs+IKERg+1K5G+2UC/bvl4RrFnwgHfk6D3w12CIllRdKD/d3j4d0o06OX4JtZIo0TuHJ6IZ6GSsN9Yseowq1ChpD6OLDMSs+d7xzpRlEANCqzHkxKufW8ZOpVxGvSi/uR0M0dnNCy+zX+q0mFOX0mOAeDbiRP740/dTdfmXhqQ7h/DISzj0NJKZPs8x62r11NecL/aZ6iD06dnJOO4kBckqx1am/9WnTh11GzH46TTK4JT86zL/wFMrIvRzPd+Lib3T/LMepql9Yv3JOb1pp9lXYjtCd1x7wK6H8IZFSYxFkDhp9XQS9zHAYUUw0V7OjTKy54TG/fLouaPoT/McfR0casfks3lM9qh+HFqL4kqw0FvwyrUhDApru6DiX5QixHTqfnn9plmgmvK59FVKauOBTlcXKTyf5/xQsjKjC4fUnjorvBEdwE2M8U9ebGfF3Q8PIG0KaQ95UBAStNnvS5l2w8kJp5dsPJjgFjg55dlElspWyATvB6qJxQQLzh+Y4+bmLhwlURUjeJ0XaZS0NDhQ1E86w4ImSLIXoQiuTuPlc9zElPz9VEw7Q9lvJh7RFHTVW3baETXNWT9cUeVvLrUrNff02yjnLSETLw5v052Q+w+/LVUnl3wERWUnppAf6dpKFIcTjF6ES2cYBXktF2U3OuPYpLzT0WATiIJBWmwIhBzC3fY/2SY9/CaWKJBBIOkIIQu/M/BKtNNWdYeDUDYWgEQW6Vo4PrApuC/0LYeRxHL9whR19ztFRqa6LXq/RoibYqj6AqkU/6B9YJOygQpM3iMZMSrJ6TzIBGZwS6ML4v6UgNJWNITAFIk2V/GZuqIKPHVRHqDaZaNJmUJ5yJSAqAUP3uvMDJRSilt0imCLd7ZeCX9/G/MQmIdDsx4kw8tLCIkHvEGsRiAOgBxOBvlGl2WWaeNqyXiXqIHmeURPKjLw4luEhCnyQ9vZBnViv6ncnH6hggR3nUNYNZRn2pDbLCYXkmZx2okptzKNyQYwpLmihIDSKDJUxbIQi2TNj85izycEIYi+PpmAfXB1Hp8E5ObMEvxXmwbJ3bLvrtKiKebZy+YN4Nja9XY47Scd7TV2kgrdosm86C41kfivQBbjdlorvDno2UOiMwQRBc6m14m03eHpQJYCjAqE8hCWzgA2dFkzH3bL4S2WF3NrU3Xq4gn1vS6YKg0VIT49M3Jmj7anha7JqL6kd3cQf2E/aw2TrC3/gFLE+fPRCWbGQcp/vcVGyfBnflaC8o8rR1LITCmceieLE32NaOKxQn1+KRUdeJZBx0jVLlCvKtNEF66GTkIFTFF1APVuT9yciqV8xdNba+jzk+sF3PO6OTvXiBkORgs98LOCYBeOafC3ED+dDck1C1B/lvku3B+WyDsV2lUcNZ2b4wkeCYZ8it3JTsZkj6CufdUrBN5UH6SqAmBp42fJq3BqBRU1qbFyhGMS63UPanSMvhXKOsFwTyviPL3uC2e1tuzJ8ansgm3hc/8Mp8+/CGg1Y/SPwLKEwrv2gdUPk2cRy1gprTpEORJM+4OsE3ocA+8cu6Gz9SebI/RZwQ/jUI2NaTWXjskrUV9Q1N5r3kmUljz58T4Hh6AiNsuRZ0RfAXrvin411+Db2Lfp4Zzgzl9TngVo8rjw4OIhgxTwmyJ6RPyuhBqxchY4tEg12LDUcZsOIg8ReHs9ZgVy8maoLpk6Gwr1XWo3xG+jlH7PGFR81mFkWVBukadHSxIg1dCHS9WKmFDu5DELv/6sSRsLkO5xzvU4P8o91grm5agtHnctxNX4Z3EzIJKmkwL30UCuHiTI8nDtCA+wrvLNdCEeJbE+ZYNduliN19iUfvcgOmjNxl9204Pabl/qUv6Uyu4nkTv5MIGuY6GUBB3zSEY4Ayf1Dg7pAt0qxNElRBt6FEaMaKK/r1Lx4TuGA67/HYt1kz2T/T40XtzspLM16w0DnLfnWszROg/TlpWgoLLPL35gVw1x3qzI3yHebw0etjea9ME3ApNIeJP5Ybzt1Tl7MqKCO39pSHHWLYQQCQB6XPFiAAQQ+bIcR9oIPr3KBKk3SRjWEaw4W2GPufdFb39ny74wHm15fxdFJ/aXqNCTEIFma3go3+g4HH3JmKS3aXYnz868bYYV49yj4bxaMQMnwmWp+zW1BVqAcmMB/EjjjX8EF/cQQiMuyto9X+yDZgY2OYvaOYSmeDTjigfSm03dsXPGiJgofKSlP7o8Zu9wY/shNZJ2/htMOfXKi/qzMzTLhPlCRp5PosS7ojlZPduh4dypRiRzKo0IHnAYgsbeHNy5Mm2FrC9UU2/v9bcxLE4pg85ituaFPcEFO+W9FkXO2Ar6UvJxYIBLQvI77pmF+ox1Zk5Tyx+TOyHu+J13fhD2iGagvOAzzV6ga05A4HKfVQxTeGnJtIrCz0RRorJuOTCxLygAWCrjjIMA7qxVJCNvJEm3yd1IOt7ihU9kt0YNJ7+c5uRBaZATl22ukMhHiAXtLiJAJnlURysadZomNVznTRdjfuuTIveziPv/me4VAJzSAjCN+DrPxsnMbkGcUWmdxA+wPyvywhHUFAHUkoowtHD0jmtE7v1GzPWgMr//P66V5pXg6EzgfnoZ0VA1XL8RdsevYNcG4vwEAllv2EcS4yYPBn6exF5sVydDwYzk7zQkraqdMFFHgvzvmWFRxtVCQ2HiTw4KaBUaDlgOtu8Uvdx4x7glyQXOcWp/58SIjcL8q0F3bP9s6pSDjPkTu6ol3K5Pl972CcqeSVSqOpidtQTZE4gvN7xJd7T/+0f6/5f3zseepHXpZt00Gnw+LNerMDz4bPFIkB9fnl5DVuE49hrl9ADATOagfW9yZY4JCiKqxh6thljI1l5VBI6MIA7ydlJbDHglLxiRTDbwLGtRFeLf1DUt9wKiHuinMC2vfpn10WXAU6jCDUKuMoonm7JuOCTHLlwvGKEpnnehknAjHstSwMc9yXdpwK9msoEHeGvN3HJ3AMMsFUowZUrseRDA0SIhu5NhwF5/a6QW5/juDHaCvannZ17ExmK+oWzhTLqO1XMTQCB+45c4xW7I+ZBw/mmuame7VfUJDO/7fu4Eu5RQopZxZ/SDr0Bm53TLKnJqjOEQAraMZc+ggww3y71vKeeHX1NggfaYtDJ47PYoL0jcPX3JjCS7TdgrCOUQNrJz2+2c+oPCa4IFWyvBmo4Ub9J5K3aTB1hPkghhKSL8KNCxXZPp8VnS2LH3HmjNXYileROsGLtATRfFXTqWcCC6zy8yB9wDBGKoWe80eQ1xrHGdlM53E8OdxGG5k904t5Z48knrXqqpMjst5ZAyk80I/3nBXLVKiKnxMISXNIrEeIo8RxEJ79kVVNAl7WPWzRuola5JJmVZ5pmsyHolKSoeg1Q4zRgpx4x9FVRdoQPUl/j53QrkPY9mgVGnXDn+xq1yJxFUk/0e5GAch+fwojUufV2Fl2pqnP722A0x+j/Nd1Q0GwKtl7ddCLiQQFvZB2rBipNG1oUgHQwTmZZJc0iGedCjhPDD9wcIRhT6Oo2hDuPNuAsXmy7xzY21xeAbCEtItdHYco8DwsIi09o2nuPPaeObHSJdOyk96+5s+dwGHAeDP0oq0kDjKgmgUV4exR/KlekS5MnF8y4lFgLD2E102Q4L8KyUgA0ShMT7sgjTKG6//dW37Sv8s4TIKEu82boTTZFhBieLMmPaEzXJI7VD+avqWAuwiwkqOACgF6XCNTCBr3zvBIhfGQg16xnG9vAT347yqLROkKPRSJiiCO/79UT6Glf99KbTMLtympcZ0Wzm3sQqLGQ6gKMM8CDhBDIP/1QMsVVtNTCvpjRdGSg+X9/odKacXYY+r4Ng7n10Z2qm473J7kegT/fYAjJ1Me1i7y6pN44jPe+MrUvF7ZQ9vNJwJAdW7jfGd4cz7+HP08nOGMuKWfUS5M8TCpuHY/a01Z0lREiHBTNIaPWordywUmoodjgfoh747fBpBWYjuUNnmihH+GPEd8ZUYt0aJtBJblKsv7JqbWTV+uZqodq4dSEfvXBljT36uQ5BVmDoBWy13Qw42IlVSw7Lax9NCLQG1RdKiY7VgSUSwx9LlBWBygJErp2vEdBPrgfobzR2jdXmhQdwHgBzZIEBvemZ1SvuBQ6hYcBXZ0gsDK/o0tAiXfkR+i2Bw1+qolzFXHOeihoYDvBCRvaJWhhCaU9nNSxv7SKOuVR5eDhQZKw+0Ae+wC+Yz38Du9Kw4b97dmFxGbEtwv00wrB7JJMv+sdNo5fzpOoOSfxhd0nX8JUXQhIcNt7f4Q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7717</Words>
  <Characters>43991</Characters>
  <Application>Microsoft Office Word</Application>
  <DocSecurity>0</DocSecurity>
  <Lines>366</Lines>
  <Paragraphs>103</Paragraphs>
  <ScaleCrop>false</ScaleCrop>
  <Company/>
  <LinksUpToDate>false</LinksUpToDate>
  <CharactersWithSpaces>51605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Metz</dc:creator>
  <cp:lastModifiedBy>Guillermo Metz</cp:lastModifiedBy>
  <cp:revision>2</cp:revision>
  <dcterms:created xsi:type="dcterms:W3CDTF">2022-03-01T16:40:00Z</dcterms:created>
  <dcterms:modified xsi:type="dcterms:W3CDTF">2022-07-01T18:45:00Z</dcterms:modified>
</cp:coreProperties>
</file>