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CFFC0" w14:textId="77777777" w:rsidR="00233BB9" w:rsidRPr="0026534A" w:rsidRDefault="00233BB9" w:rsidP="00233BB9">
      <w:pPr>
        <w:rPr>
          <w:rFonts w:asciiTheme="majorHAnsi" w:hAnsiTheme="majorHAnsi" w:cstheme="majorHAnsi"/>
          <w:sz w:val="22"/>
          <w:szCs w:val="22"/>
        </w:rPr>
      </w:pPr>
      <w:r w:rsidRPr="00E53247">
        <w:rPr>
          <w:rFonts w:asciiTheme="majorHAnsi" w:hAnsiTheme="majorHAnsi" w:cstheme="majorHAnsi"/>
          <w:b/>
          <w:bCs/>
          <w:sz w:val="22"/>
          <w:szCs w:val="22"/>
        </w:rPr>
        <w:t>LU3.</w:t>
      </w:r>
      <w:r w:rsidRPr="0026534A">
        <w:rPr>
          <w:rFonts w:asciiTheme="majorHAnsi" w:hAnsiTheme="majorHAnsi" w:cstheme="majorHAnsi"/>
          <w:sz w:val="22"/>
          <w:szCs w:val="22"/>
        </w:rPr>
        <w:t xml:space="preserve"> </w:t>
      </w:r>
      <w:r w:rsidRPr="00E53247">
        <w:rPr>
          <w:rFonts w:asciiTheme="majorHAnsi" w:hAnsiTheme="majorHAnsi" w:cstheme="majorHAnsi"/>
          <w:b/>
          <w:bCs/>
          <w:sz w:val="22"/>
          <w:szCs w:val="22"/>
        </w:rPr>
        <w:t>Avoid Agricultural and Forested Land Conversion</w:t>
      </w:r>
      <w:r w:rsidRPr="0026534A">
        <w:rPr>
          <w:rFonts w:asciiTheme="majorHAnsi" w:hAnsiTheme="majorHAnsi" w:cstheme="majorHAnsi"/>
          <w:sz w:val="22"/>
          <w:szCs w:val="22"/>
        </w:rPr>
        <w:t xml:space="preserve"> </w:t>
      </w:r>
    </w:p>
    <w:p w14:paraId="61B50731" w14:textId="1430F9C2" w:rsidR="005C0353" w:rsidRDefault="00233BB9" w:rsidP="00233BB9">
      <w:pPr>
        <w:rPr>
          <w:rFonts w:asciiTheme="majorHAnsi" w:hAnsiTheme="majorHAnsi" w:cstheme="majorHAnsi"/>
          <w:color w:val="FF0000"/>
          <w:sz w:val="22"/>
          <w:szCs w:val="22"/>
        </w:rPr>
      </w:pPr>
      <w:r w:rsidRPr="0026534A">
        <w:rPr>
          <w:rFonts w:asciiTheme="majorHAnsi" w:hAnsiTheme="majorHAnsi" w:cstheme="majorHAnsi"/>
          <w:sz w:val="22"/>
          <w:szCs w:val="22"/>
        </w:rPr>
        <w:t>The objective of this strategy is to maintain and protect the State’s potential for carbon sequestration on agricultural and forested lands through avoided conversion.</w:t>
      </w:r>
      <w:r w:rsidR="0026534A">
        <w:rPr>
          <w:rFonts w:asciiTheme="majorHAnsi" w:hAnsiTheme="majorHAnsi" w:cstheme="majorHAnsi"/>
          <w:sz w:val="22"/>
          <w:szCs w:val="22"/>
        </w:rPr>
        <w:t xml:space="preserve"> </w:t>
      </w:r>
      <w:r w:rsidR="007B7EE3">
        <w:rPr>
          <w:rFonts w:asciiTheme="majorHAnsi" w:hAnsiTheme="majorHAnsi" w:cstheme="majorHAnsi"/>
          <w:color w:val="FF0000"/>
          <w:sz w:val="22"/>
          <w:szCs w:val="22"/>
        </w:rPr>
        <w:t xml:space="preserve">There is a land use regulatory policy tool that is extremely effective and can be implemented at the local zoning/subdivision level with assistance from model local laws and Regional Planning entities. Much loss of ag and forest lands happens as rural lands transition to residential development, </w:t>
      </w:r>
      <w:r w:rsidR="00A56CB6">
        <w:rPr>
          <w:rFonts w:asciiTheme="majorHAnsi" w:hAnsiTheme="majorHAnsi" w:cstheme="majorHAnsi"/>
          <w:color w:val="FF0000"/>
          <w:sz w:val="22"/>
          <w:szCs w:val="22"/>
        </w:rPr>
        <w:t>which</w:t>
      </w:r>
      <w:r w:rsidR="007B7EE3">
        <w:rPr>
          <w:rFonts w:asciiTheme="majorHAnsi" w:hAnsiTheme="majorHAnsi" w:cstheme="majorHAnsi"/>
          <w:color w:val="FF0000"/>
          <w:sz w:val="22"/>
          <w:szCs w:val="22"/>
        </w:rPr>
        <w:t xml:space="preserve"> frequently creeps along house lot by house lot at a steady pace along rural roadways, going unnoticed by local regulators</w:t>
      </w:r>
      <w:r w:rsidR="00A56CB6">
        <w:rPr>
          <w:rFonts w:asciiTheme="majorHAnsi" w:hAnsiTheme="majorHAnsi" w:cstheme="majorHAnsi"/>
          <w:color w:val="FF0000"/>
          <w:sz w:val="22"/>
          <w:szCs w:val="22"/>
        </w:rPr>
        <w:t xml:space="preserve">. As farmers retire, and land is sold off, </w:t>
      </w:r>
      <w:r w:rsidR="007B7EE3">
        <w:rPr>
          <w:rFonts w:asciiTheme="majorHAnsi" w:hAnsiTheme="majorHAnsi" w:cstheme="majorHAnsi"/>
          <w:color w:val="FF0000"/>
          <w:sz w:val="22"/>
          <w:szCs w:val="22"/>
        </w:rPr>
        <w:t xml:space="preserve">eventually </w:t>
      </w:r>
      <w:r w:rsidR="00A56CB6">
        <w:rPr>
          <w:rFonts w:asciiTheme="majorHAnsi" w:hAnsiTheme="majorHAnsi" w:cstheme="majorHAnsi"/>
          <w:color w:val="FF0000"/>
          <w:sz w:val="22"/>
          <w:szCs w:val="22"/>
        </w:rPr>
        <w:t>the</w:t>
      </w:r>
      <w:r w:rsidR="007B7EE3">
        <w:rPr>
          <w:rFonts w:asciiTheme="majorHAnsi" w:hAnsiTheme="majorHAnsi" w:cstheme="majorHAnsi"/>
          <w:color w:val="FF0000"/>
          <w:sz w:val="22"/>
          <w:szCs w:val="22"/>
        </w:rPr>
        <w:t xml:space="preserve"> impacts on </w:t>
      </w:r>
      <w:r w:rsidR="00A56CB6">
        <w:rPr>
          <w:rFonts w:asciiTheme="majorHAnsi" w:hAnsiTheme="majorHAnsi" w:cstheme="majorHAnsi"/>
          <w:color w:val="FF0000"/>
          <w:sz w:val="22"/>
          <w:szCs w:val="22"/>
        </w:rPr>
        <w:t xml:space="preserve">the </w:t>
      </w:r>
      <w:r w:rsidR="007B7EE3">
        <w:rPr>
          <w:rFonts w:asciiTheme="majorHAnsi" w:hAnsiTheme="majorHAnsi" w:cstheme="majorHAnsi"/>
          <w:color w:val="FF0000"/>
          <w:sz w:val="22"/>
          <w:szCs w:val="22"/>
        </w:rPr>
        <w:t xml:space="preserve">remaining farm operations </w:t>
      </w:r>
      <w:r w:rsidR="00A56CB6">
        <w:rPr>
          <w:rFonts w:asciiTheme="majorHAnsi" w:hAnsiTheme="majorHAnsi" w:cstheme="majorHAnsi"/>
          <w:color w:val="FF0000"/>
          <w:sz w:val="22"/>
          <w:szCs w:val="22"/>
        </w:rPr>
        <w:t>are</w:t>
      </w:r>
      <w:r w:rsidR="007B7EE3">
        <w:rPr>
          <w:rFonts w:asciiTheme="majorHAnsi" w:hAnsiTheme="majorHAnsi" w:cstheme="majorHAnsi"/>
          <w:color w:val="FF0000"/>
          <w:sz w:val="22"/>
          <w:szCs w:val="22"/>
        </w:rPr>
        <w:t xml:space="preserve"> </w:t>
      </w:r>
      <w:r w:rsidR="00A56CB6">
        <w:rPr>
          <w:rFonts w:asciiTheme="majorHAnsi" w:hAnsiTheme="majorHAnsi" w:cstheme="majorHAnsi"/>
          <w:color w:val="FF0000"/>
          <w:sz w:val="22"/>
          <w:szCs w:val="22"/>
        </w:rPr>
        <w:t xml:space="preserve">farm operations </w:t>
      </w:r>
      <w:proofErr w:type="spellStart"/>
      <w:r w:rsidR="007B7EE3">
        <w:rPr>
          <w:rFonts w:asciiTheme="majorHAnsi" w:hAnsiTheme="majorHAnsi" w:cstheme="majorHAnsi"/>
          <w:color w:val="FF0000"/>
          <w:sz w:val="22"/>
          <w:szCs w:val="22"/>
        </w:rPr>
        <w:t>incompatib</w:t>
      </w:r>
      <w:r w:rsidR="00A56CB6">
        <w:rPr>
          <w:rFonts w:asciiTheme="majorHAnsi" w:hAnsiTheme="majorHAnsi" w:cstheme="majorHAnsi"/>
          <w:color w:val="FF0000"/>
          <w:sz w:val="22"/>
          <w:szCs w:val="22"/>
        </w:rPr>
        <w:t>ilty</w:t>
      </w:r>
      <w:proofErr w:type="spellEnd"/>
      <w:r w:rsidR="007B7EE3">
        <w:rPr>
          <w:rFonts w:asciiTheme="majorHAnsi" w:hAnsiTheme="majorHAnsi" w:cstheme="majorHAnsi"/>
          <w:color w:val="FF0000"/>
          <w:sz w:val="22"/>
          <w:szCs w:val="22"/>
        </w:rPr>
        <w:t xml:space="preserve"> with the new residential neighborhoods. With a subdivision tool in place</w:t>
      </w:r>
      <w:r w:rsidR="00A56CB6">
        <w:rPr>
          <w:rFonts w:asciiTheme="majorHAnsi" w:hAnsiTheme="majorHAnsi" w:cstheme="majorHAnsi"/>
          <w:color w:val="FF0000"/>
          <w:sz w:val="22"/>
          <w:szCs w:val="22"/>
        </w:rPr>
        <w:t xml:space="preserve"> as an overlay</w:t>
      </w:r>
      <w:r w:rsidR="007B7EE3">
        <w:rPr>
          <w:rFonts w:asciiTheme="majorHAnsi" w:hAnsiTheme="majorHAnsi" w:cstheme="majorHAnsi"/>
          <w:color w:val="FF0000"/>
          <w:sz w:val="22"/>
          <w:szCs w:val="22"/>
        </w:rPr>
        <w:t xml:space="preserve">, </w:t>
      </w:r>
      <w:r w:rsidR="007B7EE3" w:rsidRPr="00744404">
        <w:rPr>
          <w:rFonts w:asciiTheme="majorHAnsi" w:hAnsiTheme="majorHAnsi" w:cstheme="majorHAnsi"/>
          <w:b/>
          <w:bCs/>
          <w:color w:val="FF0000"/>
          <w:sz w:val="22"/>
          <w:szCs w:val="22"/>
        </w:rPr>
        <w:t>CSD (Conservation Subdivision Design)</w:t>
      </w:r>
      <w:r w:rsidR="007B7EE3">
        <w:rPr>
          <w:rFonts w:asciiTheme="majorHAnsi" w:hAnsiTheme="majorHAnsi" w:cstheme="majorHAnsi"/>
          <w:color w:val="FF0000"/>
          <w:sz w:val="22"/>
          <w:szCs w:val="22"/>
        </w:rPr>
        <w:t>, every major subdivision of land is tempered with 50% conservation of the most sensitive lands of th</w:t>
      </w:r>
      <w:r w:rsidR="00A56CB6">
        <w:rPr>
          <w:rFonts w:asciiTheme="majorHAnsi" w:hAnsiTheme="majorHAnsi" w:cstheme="majorHAnsi"/>
          <w:color w:val="FF0000"/>
          <w:sz w:val="22"/>
          <w:szCs w:val="22"/>
        </w:rPr>
        <w:t>at</w:t>
      </w:r>
      <w:r w:rsidR="007B7EE3">
        <w:rPr>
          <w:rFonts w:asciiTheme="majorHAnsi" w:hAnsiTheme="majorHAnsi" w:cstheme="majorHAnsi"/>
          <w:color w:val="FF0000"/>
          <w:sz w:val="22"/>
          <w:szCs w:val="22"/>
        </w:rPr>
        <w:t xml:space="preserve"> parcel. The tool is extremely effective </w:t>
      </w:r>
      <w:r w:rsidR="00410854">
        <w:rPr>
          <w:rFonts w:asciiTheme="majorHAnsi" w:hAnsiTheme="majorHAnsi" w:cstheme="majorHAnsi"/>
          <w:color w:val="FF0000"/>
          <w:sz w:val="22"/>
          <w:szCs w:val="22"/>
        </w:rPr>
        <w:t xml:space="preserve">because it identifies and </w:t>
      </w:r>
      <w:r w:rsidR="007B7EE3">
        <w:rPr>
          <w:rFonts w:asciiTheme="majorHAnsi" w:hAnsiTheme="majorHAnsi" w:cstheme="majorHAnsi"/>
          <w:color w:val="FF0000"/>
          <w:sz w:val="22"/>
          <w:szCs w:val="22"/>
        </w:rPr>
        <w:t xml:space="preserve"> protect</w:t>
      </w:r>
      <w:r w:rsidR="00410854">
        <w:rPr>
          <w:rFonts w:asciiTheme="majorHAnsi" w:hAnsiTheme="majorHAnsi" w:cstheme="majorHAnsi"/>
          <w:color w:val="FF0000"/>
          <w:sz w:val="22"/>
          <w:szCs w:val="22"/>
        </w:rPr>
        <w:t xml:space="preserve">s </w:t>
      </w:r>
      <w:r w:rsidR="007B7EE3">
        <w:rPr>
          <w:rFonts w:asciiTheme="majorHAnsi" w:hAnsiTheme="majorHAnsi" w:cstheme="majorHAnsi"/>
          <w:color w:val="FF0000"/>
          <w:sz w:val="22"/>
          <w:szCs w:val="22"/>
        </w:rPr>
        <w:t xml:space="preserve">agricultural </w:t>
      </w:r>
      <w:r w:rsidR="00410854">
        <w:rPr>
          <w:rFonts w:asciiTheme="majorHAnsi" w:hAnsiTheme="majorHAnsi" w:cstheme="majorHAnsi"/>
          <w:color w:val="FF0000"/>
          <w:sz w:val="22"/>
          <w:szCs w:val="22"/>
        </w:rPr>
        <w:t>soils</w:t>
      </w:r>
      <w:r w:rsidR="007B7EE3">
        <w:rPr>
          <w:rFonts w:asciiTheme="majorHAnsi" w:hAnsiTheme="majorHAnsi" w:cstheme="majorHAnsi"/>
          <w:color w:val="FF0000"/>
          <w:sz w:val="22"/>
          <w:szCs w:val="22"/>
        </w:rPr>
        <w:t xml:space="preserve">, </w:t>
      </w:r>
      <w:r w:rsidR="00A56CB6">
        <w:rPr>
          <w:rFonts w:asciiTheme="majorHAnsi" w:hAnsiTheme="majorHAnsi" w:cstheme="majorHAnsi"/>
          <w:color w:val="FF0000"/>
          <w:sz w:val="22"/>
          <w:szCs w:val="22"/>
        </w:rPr>
        <w:t>forests, stream corridors,</w:t>
      </w:r>
      <w:r w:rsidR="00410854">
        <w:rPr>
          <w:rFonts w:asciiTheme="majorHAnsi" w:hAnsiTheme="majorHAnsi" w:cstheme="majorHAnsi"/>
          <w:color w:val="FF0000"/>
          <w:sz w:val="22"/>
          <w:szCs w:val="22"/>
        </w:rPr>
        <w:t xml:space="preserve"> or </w:t>
      </w:r>
      <w:r w:rsidR="00A56CB6">
        <w:rPr>
          <w:rFonts w:asciiTheme="majorHAnsi" w:hAnsiTheme="majorHAnsi" w:cstheme="majorHAnsi"/>
          <w:color w:val="FF0000"/>
          <w:sz w:val="22"/>
          <w:szCs w:val="22"/>
        </w:rPr>
        <w:t>ecologically rich areas</w:t>
      </w:r>
      <w:r w:rsidR="00410854">
        <w:rPr>
          <w:rFonts w:asciiTheme="majorHAnsi" w:hAnsiTheme="majorHAnsi" w:cstheme="majorHAnsi"/>
          <w:color w:val="FF0000"/>
          <w:sz w:val="22"/>
          <w:szCs w:val="22"/>
        </w:rPr>
        <w:t>. I</w:t>
      </w:r>
      <w:r w:rsidR="00A56CB6">
        <w:rPr>
          <w:rFonts w:asciiTheme="majorHAnsi" w:hAnsiTheme="majorHAnsi" w:cstheme="majorHAnsi"/>
          <w:color w:val="FF0000"/>
          <w:sz w:val="22"/>
          <w:szCs w:val="22"/>
        </w:rPr>
        <w:t>t is simple to use, retains landowner development rights, and protects lands in perpetuity</w:t>
      </w:r>
      <w:r w:rsidR="00410854">
        <w:rPr>
          <w:rFonts w:asciiTheme="majorHAnsi" w:hAnsiTheme="majorHAnsi" w:cstheme="majorHAnsi"/>
          <w:color w:val="FF0000"/>
          <w:sz w:val="22"/>
          <w:szCs w:val="22"/>
        </w:rPr>
        <w:t xml:space="preserve"> </w:t>
      </w:r>
      <w:r w:rsidR="00410854">
        <w:rPr>
          <w:rFonts w:asciiTheme="majorHAnsi" w:hAnsiTheme="majorHAnsi" w:cstheme="majorHAnsi"/>
          <w:color w:val="FF0000"/>
          <w:sz w:val="22"/>
          <w:szCs w:val="22"/>
        </w:rPr>
        <w:t xml:space="preserve">through </w:t>
      </w:r>
      <w:r w:rsidR="00410854">
        <w:rPr>
          <w:rFonts w:asciiTheme="majorHAnsi" w:hAnsiTheme="majorHAnsi" w:cstheme="majorHAnsi"/>
          <w:color w:val="FF0000"/>
          <w:sz w:val="22"/>
          <w:szCs w:val="22"/>
        </w:rPr>
        <w:t xml:space="preserve">a standard conservation </w:t>
      </w:r>
      <w:r w:rsidR="00410854">
        <w:rPr>
          <w:rFonts w:asciiTheme="majorHAnsi" w:hAnsiTheme="majorHAnsi" w:cstheme="majorHAnsi"/>
          <w:color w:val="FF0000"/>
          <w:sz w:val="22"/>
          <w:szCs w:val="22"/>
        </w:rPr>
        <w:t>easement</w:t>
      </w:r>
      <w:r w:rsidR="00410854">
        <w:rPr>
          <w:rFonts w:asciiTheme="majorHAnsi" w:hAnsiTheme="majorHAnsi" w:cstheme="majorHAnsi"/>
          <w:color w:val="FF0000"/>
          <w:sz w:val="22"/>
          <w:szCs w:val="22"/>
        </w:rPr>
        <w:t xml:space="preserve"> that removes development rights from the identified lands</w:t>
      </w:r>
      <w:r w:rsidR="00A56CB6">
        <w:rPr>
          <w:rFonts w:asciiTheme="majorHAnsi" w:hAnsiTheme="majorHAnsi" w:cstheme="majorHAnsi"/>
          <w:color w:val="FF0000"/>
          <w:sz w:val="22"/>
          <w:szCs w:val="22"/>
        </w:rPr>
        <w:t>. Certain conservation-compatible uses are allowed</w:t>
      </w:r>
      <w:r w:rsidR="00410854">
        <w:rPr>
          <w:rFonts w:asciiTheme="majorHAnsi" w:hAnsiTheme="majorHAnsi" w:cstheme="majorHAnsi"/>
          <w:color w:val="FF0000"/>
          <w:sz w:val="22"/>
          <w:szCs w:val="22"/>
        </w:rPr>
        <w:t xml:space="preserve"> on those lands</w:t>
      </w:r>
      <w:r w:rsidR="00A56CB6">
        <w:rPr>
          <w:rFonts w:asciiTheme="majorHAnsi" w:hAnsiTheme="majorHAnsi" w:cstheme="majorHAnsi"/>
          <w:color w:val="FF0000"/>
          <w:sz w:val="22"/>
          <w:szCs w:val="22"/>
        </w:rPr>
        <w:t xml:space="preserve">, and development </w:t>
      </w:r>
      <w:r w:rsidR="00410854">
        <w:rPr>
          <w:rFonts w:asciiTheme="majorHAnsi" w:hAnsiTheme="majorHAnsi" w:cstheme="majorHAnsi"/>
          <w:color w:val="FF0000"/>
          <w:sz w:val="22"/>
          <w:szCs w:val="22"/>
        </w:rPr>
        <w:t xml:space="preserve">of the remainder of the parent parcel </w:t>
      </w:r>
      <w:r w:rsidR="00A56CB6">
        <w:rPr>
          <w:rFonts w:asciiTheme="majorHAnsi" w:hAnsiTheme="majorHAnsi" w:cstheme="majorHAnsi"/>
          <w:color w:val="FF0000"/>
          <w:sz w:val="22"/>
          <w:szCs w:val="22"/>
        </w:rPr>
        <w:t xml:space="preserve">is kept compact, </w:t>
      </w:r>
      <w:r w:rsidR="00410854">
        <w:rPr>
          <w:rFonts w:asciiTheme="majorHAnsi" w:hAnsiTheme="majorHAnsi" w:cstheme="majorHAnsi"/>
          <w:color w:val="FF0000"/>
          <w:sz w:val="22"/>
          <w:szCs w:val="22"/>
        </w:rPr>
        <w:t xml:space="preserve">to </w:t>
      </w:r>
      <w:r w:rsidR="00A56CB6">
        <w:rPr>
          <w:rFonts w:asciiTheme="majorHAnsi" w:hAnsiTheme="majorHAnsi" w:cstheme="majorHAnsi"/>
          <w:color w:val="FF0000"/>
          <w:sz w:val="22"/>
          <w:szCs w:val="22"/>
        </w:rPr>
        <w:t xml:space="preserve">allow for the 50% conservation. </w:t>
      </w:r>
    </w:p>
    <w:p w14:paraId="1ACFA7C7" w14:textId="2B642BFA" w:rsidR="00A56CB6" w:rsidRDefault="00A56CB6" w:rsidP="00233BB9">
      <w:pPr>
        <w:rPr>
          <w:rFonts w:asciiTheme="majorHAnsi" w:hAnsiTheme="majorHAnsi" w:cstheme="majorHAnsi"/>
          <w:color w:val="FF0000"/>
          <w:sz w:val="22"/>
          <w:szCs w:val="22"/>
        </w:rPr>
      </w:pPr>
    </w:p>
    <w:p w14:paraId="3CF7CF84" w14:textId="64688DAB" w:rsidR="00A56CB6" w:rsidRDefault="00410854" w:rsidP="00233BB9">
      <w:pPr>
        <w:rPr>
          <w:rFonts w:asciiTheme="majorHAnsi" w:hAnsiTheme="majorHAnsi" w:cstheme="majorHAnsi"/>
          <w:color w:val="FF0000"/>
          <w:sz w:val="22"/>
          <w:szCs w:val="22"/>
        </w:rPr>
      </w:pPr>
      <w:r>
        <w:rPr>
          <w:rFonts w:asciiTheme="majorHAnsi" w:hAnsiTheme="majorHAnsi" w:cstheme="majorHAnsi"/>
          <w:color w:val="FF0000"/>
          <w:sz w:val="22"/>
          <w:szCs w:val="22"/>
        </w:rPr>
        <w:t xml:space="preserve">We have been working to, and </w:t>
      </w:r>
      <w:r w:rsidR="00A56CB6">
        <w:rPr>
          <w:rFonts w:asciiTheme="majorHAnsi" w:hAnsiTheme="majorHAnsi" w:cstheme="majorHAnsi"/>
          <w:color w:val="FF0000"/>
          <w:sz w:val="22"/>
          <w:szCs w:val="22"/>
        </w:rPr>
        <w:t>have developed</w:t>
      </w:r>
      <w:r>
        <w:rPr>
          <w:rFonts w:asciiTheme="majorHAnsi" w:hAnsiTheme="majorHAnsi" w:cstheme="majorHAnsi"/>
          <w:color w:val="FF0000"/>
          <w:sz w:val="22"/>
          <w:szCs w:val="22"/>
        </w:rPr>
        <w:t>,</w:t>
      </w:r>
      <w:r w:rsidR="00A56CB6">
        <w:rPr>
          <w:rFonts w:asciiTheme="majorHAnsi" w:hAnsiTheme="majorHAnsi" w:cstheme="majorHAnsi"/>
          <w:color w:val="FF0000"/>
          <w:sz w:val="22"/>
          <w:szCs w:val="22"/>
        </w:rPr>
        <w:t xml:space="preserve"> a model CSD law for rural Central New York</w:t>
      </w:r>
      <w:r>
        <w:rPr>
          <w:rFonts w:asciiTheme="majorHAnsi" w:hAnsiTheme="majorHAnsi" w:cstheme="majorHAnsi"/>
          <w:color w:val="FF0000"/>
          <w:sz w:val="22"/>
          <w:szCs w:val="22"/>
        </w:rPr>
        <w:t xml:space="preserve"> municipalities.</w:t>
      </w:r>
      <w:r w:rsidR="00A56CB6">
        <w:rPr>
          <w:rFonts w:asciiTheme="majorHAnsi" w:hAnsiTheme="majorHAnsi" w:cstheme="majorHAnsi"/>
          <w:color w:val="FF0000"/>
          <w:sz w:val="22"/>
          <w:szCs w:val="22"/>
        </w:rPr>
        <w:t xml:space="preserve"> </w:t>
      </w:r>
      <w:r>
        <w:rPr>
          <w:rFonts w:asciiTheme="majorHAnsi" w:hAnsiTheme="majorHAnsi" w:cstheme="majorHAnsi"/>
          <w:color w:val="FF0000"/>
          <w:sz w:val="22"/>
          <w:szCs w:val="22"/>
        </w:rPr>
        <w:t>It was adopted in Cayuga County following adoption of a comprehensive Plan. I</w:t>
      </w:r>
      <w:r w:rsidR="00A56CB6">
        <w:rPr>
          <w:rFonts w:asciiTheme="majorHAnsi" w:hAnsiTheme="majorHAnsi" w:cstheme="majorHAnsi"/>
          <w:color w:val="FF0000"/>
          <w:sz w:val="22"/>
          <w:szCs w:val="22"/>
        </w:rPr>
        <w:t xml:space="preserve"> presented th</w:t>
      </w:r>
      <w:r>
        <w:rPr>
          <w:rFonts w:asciiTheme="majorHAnsi" w:hAnsiTheme="majorHAnsi" w:cstheme="majorHAnsi"/>
          <w:color w:val="FF0000"/>
          <w:sz w:val="22"/>
          <w:szCs w:val="22"/>
        </w:rPr>
        <w:t>e</w:t>
      </w:r>
      <w:r w:rsidR="00A56CB6">
        <w:rPr>
          <w:rFonts w:asciiTheme="majorHAnsi" w:hAnsiTheme="majorHAnsi" w:cstheme="majorHAnsi"/>
          <w:color w:val="FF0000"/>
          <w:sz w:val="22"/>
          <w:szCs w:val="22"/>
        </w:rPr>
        <w:t xml:space="preserve"> tool at our Syracuse-Onondaga County Planning Agency annual symposium</w:t>
      </w:r>
      <w:r w:rsidR="00223651">
        <w:rPr>
          <w:rFonts w:asciiTheme="majorHAnsi" w:hAnsiTheme="majorHAnsi" w:cstheme="majorHAnsi"/>
          <w:color w:val="FF0000"/>
          <w:sz w:val="22"/>
          <w:szCs w:val="22"/>
        </w:rPr>
        <w:t>,</w:t>
      </w:r>
      <w:r>
        <w:rPr>
          <w:rFonts w:asciiTheme="majorHAnsi" w:hAnsiTheme="majorHAnsi" w:cstheme="majorHAnsi"/>
          <w:color w:val="FF0000"/>
          <w:sz w:val="22"/>
          <w:szCs w:val="22"/>
        </w:rPr>
        <w:t xml:space="preserve"> and we are </w:t>
      </w:r>
      <w:r w:rsidR="00E53247">
        <w:rPr>
          <w:rFonts w:asciiTheme="majorHAnsi" w:hAnsiTheme="majorHAnsi" w:cstheme="majorHAnsi"/>
          <w:color w:val="FF0000"/>
          <w:sz w:val="22"/>
          <w:szCs w:val="22"/>
        </w:rPr>
        <w:t>hoping to have more</w:t>
      </w:r>
      <w:r>
        <w:rPr>
          <w:rFonts w:asciiTheme="majorHAnsi" w:hAnsiTheme="majorHAnsi" w:cstheme="majorHAnsi"/>
          <w:color w:val="FF0000"/>
          <w:sz w:val="22"/>
          <w:szCs w:val="22"/>
        </w:rPr>
        <w:t xml:space="preserve"> opportunities to work with municipalities to get these tools implemented at the local level</w:t>
      </w:r>
      <w:r w:rsidR="00E53247">
        <w:rPr>
          <w:rFonts w:asciiTheme="majorHAnsi" w:hAnsiTheme="majorHAnsi" w:cstheme="majorHAnsi"/>
          <w:color w:val="FF0000"/>
          <w:sz w:val="22"/>
          <w:szCs w:val="22"/>
        </w:rPr>
        <w:t xml:space="preserve">. The </w:t>
      </w:r>
      <w:r w:rsidR="00223651">
        <w:rPr>
          <w:rFonts w:asciiTheme="majorHAnsi" w:hAnsiTheme="majorHAnsi" w:cstheme="majorHAnsi"/>
          <w:color w:val="FF0000"/>
          <w:sz w:val="22"/>
          <w:szCs w:val="22"/>
        </w:rPr>
        <w:t xml:space="preserve">outreach and education work </w:t>
      </w:r>
      <w:r w:rsidR="00E53247">
        <w:rPr>
          <w:rFonts w:asciiTheme="majorHAnsi" w:hAnsiTheme="majorHAnsi" w:cstheme="majorHAnsi"/>
          <w:color w:val="FF0000"/>
          <w:sz w:val="22"/>
          <w:szCs w:val="22"/>
        </w:rPr>
        <w:t>is critical to getting this</w:t>
      </w:r>
      <w:r w:rsidR="00223651">
        <w:rPr>
          <w:rFonts w:asciiTheme="majorHAnsi" w:hAnsiTheme="majorHAnsi" w:cstheme="majorHAnsi"/>
          <w:color w:val="FF0000"/>
          <w:sz w:val="22"/>
          <w:szCs w:val="22"/>
        </w:rPr>
        <w:t xml:space="preserve"> done</w:t>
      </w:r>
      <w:r w:rsidR="00A56CB6">
        <w:rPr>
          <w:rFonts w:asciiTheme="majorHAnsi" w:hAnsiTheme="majorHAnsi" w:cstheme="majorHAnsi"/>
          <w:color w:val="FF0000"/>
          <w:sz w:val="22"/>
          <w:szCs w:val="22"/>
        </w:rPr>
        <w:t xml:space="preserve">. </w:t>
      </w:r>
    </w:p>
    <w:p w14:paraId="746C25D8" w14:textId="73F4CFF8" w:rsidR="00744404" w:rsidRDefault="00744404" w:rsidP="00233BB9">
      <w:pPr>
        <w:rPr>
          <w:rFonts w:asciiTheme="majorHAnsi" w:hAnsiTheme="majorHAnsi" w:cstheme="majorHAnsi"/>
          <w:color w:val="FF0000"/>
          <w:sz w:val="22"/>
          <w:szCs w:val="22"/>
        </w:rPr>
      </w:pPr>
    </w:p>
    <w:p w14:paraId="11DB4AB8" w14:textId="4129F922" w:rsidR="00744404" w:rsidRDefault="00744404" w:rsidP="00744404">
      <w:pPr>
        <w:rPr>
          <w:rFonts w:asciiTheme="majorHAnsi" w:hAnsiTheme="majorHAnsi" w:cstheme="majorHAnsi"/>
          <w:color w:val="FF0000"/>
          <w:sz w:val="22"/>
          <w:szCs w:val="22"/>
        </w:rPr>
      </w:pPr>
      <w:r>
        <w:rPr>
          <w:rFonts w:asciiTheme="majorHAnsi" w:hAnsiTheme="majorHAnsi" w:cstheme="majorHAnsi"/>
          <w:color w:val="FF0000"/>
          <w:sz w:val="22"/>
          <w:szCs w:val="22"/>
        </w:rPr>
        <w:t xml:space="preserve">Another effective conservation tool is </w:t>
      </w:r>
      <w:r w:rsidRPr="00744404">
        <w:rPr>
          <w:rFonts w:asciiTheme="majorHAnsi" w:hAnsiTheme="majorHAnsi" w:cstheme="majorHAnsi"/>
          <w:b/>
          <w:bCs/>
          <w:color w:val="FF0000"/>
          <w:sz w:val="22"/>
          <w:szCs w:val="22"/>
        </w:rPr>
        <w:t>Fixed Ratio {Density Averaging) Zoning</w:t>
      </w:r>
      <w:r>
        <w:rPr>
          <w:rFonts w:asciiTheme="majorHAnsi" w:hAnsiTheme="majorHAnsi" w:cstheme="majorHAnsi"/>
          <w:color w:val="FF0000"/>
          <w:sz w:val="22"/>
          <w:szCs w:val="22"/>
        </w:rPr>
        <w:t xml:space="preserve">, a </w:t>
      </w:r>
      <w:r w:rsidRPr="00744404">
        <w:rPr>
          <w:rFonts w:asciiTheme="majorHAnsi" w:hAnsiTheme="majorHAnsi" w:cstheme="majorHAnsi"/>
          <w:color w:val="FF0000"/>
          <w:sz w:val="22"/>
          <w:szCs w:val="22"/>
        </w:rPr>
        <w:t xml:space="preserve">Zoning and subdivision concept </w:t>
      </w:r>
      <w:r>
        <w:rPr>
          <w:rFonts w:asciiTheme="majorHAnsi" w:hAnsiTheme="majorHAnsi" w:cstheme="majorHAnsi"/>
          <w:color w:val="FF0000"/>
          <w:sz w:val="22"/>
          <w:szCs w:val="22"/>
        </w:rPr>
        <w:t>where</w:t>
      </w:r>
      <w:r w:rsidRPr="00744404">
        <w:rPr>
          <w:rFonts w:asciiTheme="majorHAnsi" w:hAnsiTheme="majorHAnsi" w:cstheme="majorHAnsi"/>
          <w:color w:val="FF0000"/>
          <w:sz w:val="22"/>
          <w:szCs w:val="22"/>
        </w:rPr>
        <w:t xml:space="preserve"> density is calculated by number of lots permitted based on acreage (e.g., 1 lot for each 10 acres</w:t>
      </w:r>
      <w:r>
        <w:rPr>
          <w:rFonts w:asciiTheme="majorHAnsi" w:hAnsiTheme="majorHAnsi" w:cstheme="majorHAnsi"/>
          <w:color w:val="FF0000"/>
          <w:sz w:val="22"/>
          <w:szCs w:val="22"/>
        </w:rPr>
        <w:t>). Similar to CSD, the p</w:t>
      </w:r>
      <w:r w:rsidRPr="00744404">
        <w:rPr>
          <w:rFonts w:asciiTheme="majorHAnsi" w:hAnsiTheme="majorHAnsi" w:cstheme="majorHAnsi"/>
          <w:color w:val="FF0000"/>
          <w:sz w:val="22"/>
          <w:szCs w:val="22"/>
        </w:rPr>
        <w:t xml:space="preserve">ermitted lot sizes </w:t>
      </w:r>
      <w:r>
        <w:rPr>
          <w:rFonts w:asciiTheme="majorHAnsi" w:hAnsiTheme="majorHAnsi" w:cstheme="majorHAnsi"/>
          <w:color w:val="FF0000"/>
          <w:sz w:val="22"/>
          <w:szCs w:val="22"/>
        </w:rPr>
        <w:t xml:space="preserve">are </w:t>
      </w:r>
      <w:r w:rsidRPr="00744404">
        <w:rPr>
          <w:rFonts w:asciiTheme="majorHAnsi" w:hAnsiTheme="majorHAnsi" w:cstheme="majorHAnsi"/>
          <w:color w:val="FF0000"/>
          <w:sz w:val="22"/>
          <w:szCs w:val="22"/>
        </w:rPr>
        <w:t>much smaller: 1 to 2 acres or minimum required for on-lot septic</w:t>
      </w:r>
      <w:r>
        <w:rPr>
          <w:rFonts w:asciiTheme="majorHAnsi" w:hAnsiTheme="majorHAnsi" w:cstheme="majorHAnsi"/>
          <w:color w:val="FF0000"/>
          <w:sz w:val="22"/>
          <w:szCs w:val="22"/>
        </w:rPr>
        <w:t>. This p</w:t>
      </w:r>
      <w:r w:rsidRPr="00744404">
        <w:rPr>
          <w:rFonts w:asciiTheme="majorHAnsi" w:hAnsiTheme="majorHAnsi" w:cstheme="majorHAnsi"/>
          <w:color w:val="FF0000"/>
          <w:sz w:val="22"/>
          <w:szCs w:val="22"/>
        </w:rPr>
        <w:t>ermits small scale low density rural subdivision by landowner</w:t>
      </w:r>
      <w:r>
        <w:rPr>
          <w:rFonts w:asciiTheme="majorHAnsi" w:hAnsiTheme="majorHAnsi" w:cstheme="majorHAnsi"/>
          <w:color w:val="FF0000"/>
          <w:sz w:val="22"/>
          <w:szCs w:val="22"/>
        </w:rPr>
        <w:t>s and c</w:t>
      </w:r>
      <w:r w:rsidRPr="00744404">
        <w:rPr>
          <w:rFonts w:asciiTheme="majorHAnsi" w:hAnsiTheme="majorHAnsi" w:cstheme="majorHAnsi"/>
          <w:color w:val="FF0000"/>
          <w:sz w:val="22"/>
          <w:szCs w:val="22"/>
        </w:rPr>
        <w:t xml:space="preserve">an preserve large tracts of agricultural </w:t>
      </w:r>
      <w:r>
        <w:rPr>
          <w:rFonts w:asciiTheme="majorHAnsi" w:hAnsiTheme="majorHAnsi" w:cstheme="majorHAnsi"/>
          <w:color w:val="FF0000"/>
          <w:sz w:val="22"/>
          <w:szCs w:val="22"/>
        </w:rPr>
        <w:t xml:space="preserve">or forested </w:t>
      </w:r>
      <w:r w:rsidRPr="00744404">
        <w:rPr>
          <w:rFonts w:asciiTheme="majorHAnsi" w:hAnsiTheme="majorHAnsi" w:cstheme="majorHAnsi"/>
          <w:color w:val="FF0000"/>
          <w:sz w:val="22"/>
          <w:szCs w:val="22"/>
        </w:rPr>
        <w:t>lands</w:t>
      </w:r>
      <w:r>
        <w:rPr>
          <w:rFonts w:asciiTheme="majorHAnsi" w:hAnsiTheme="majorHAnsi" w:cstheme="majorHAnsi"/>
          <w:color w:val="FF0000"/>
          <w:sz w:val="22"/>
          <w:szCs w:val="22"/>
        </w:rPr>
        <w:t>.</w:t>
      </w:r>
    </w:p>
    <w:p w14:paraId="02475284" w14:textId="0535382C" w:rsidR="00744404" w:rsidRDefault="00744404" w:rsidP="00744404">
      <w:pPr>
        <w:rPr>
          <w:rFonts w:asciiTheme="majorHAnsi" w:hAnsiTheme="majorHAnsi" w:cstheme="majorHAnsi"/>
          <w:color w:val="FF0000"/>
          <w:sz w:val="22"/>
          <w:szCs w:val="22"/>
        </w:rPr>
      </w:pPr>
    </w:p>
    <w:p w14:paraId="60D9F148" w14:textId="3065CEE3" w:rsidR="00744404" w:rsidRDefault="00744404" w:rsidP="00744404">
      <w:pPr>
        <w:rPr>
          <w:rFonts w:asciiTheme="majorHAnsi" w:hAnsiTheme="majorHAnsi" w:cstheme="majorHAnsi"/>
          <w:color w:val="FF0000"/>
          <w:sz w:val="22"/>
          <w:szCs w:val="22"/>
        </w:rPr>
      </w:pPr>
      <w:r>
        <w:rPr>
          <w:rFonts w:asciiTheme="majorHAnsi" w:hAnsiTheme="majorHAnsi" w:cstheme="majorHAnsi"/>
          <w:color w:val="FF0000"/>
          <w:sz w:val="22"/>
          <w:szCs w:val="22"/>
        </w:rPr>
        <w:t xml:space="preserve">For </w:t>
      </w:r>
      <w:r w:rsidRPr="00744404">
        <w:rPr>
          <w:rFonts w:asciiTheme="majorHAnsi" w:hAnsiTheme="majorHAnsi" w:cstheme="majorHAnsi"/>
          <w:b/>
          <w:bCs/>
          <w:color w:val="FF0000"/>
          <w:sz w:val="22"/>
          <w:szCs w:val="22"/>
        </w:rPr>
        <w:t>Renewable Energy Regulations</w:t>
      </w:r>
      <w:r>
        <w:rPr>
          <w:rFonts w:asciiTheme="majorHAnsi" w:hAnsiTheme="majorHAnsi" w:cstheme="majorHAnsi"/>
          <w:b/>
          <w:bCs/>
          <w:color w:val="FF0000"/>
          <w:sz w:val="22"/>
          <w:szCs w:val="22"/>
        </w:rPr>
        <w:t xml:space="preserve"> (under </w:t>
      </w:r>
      <w:r w:rsidRPr="00744404">
        <w:rPr>
          <w:rFonts w:asciiTheme="majorHAnsi" w:hAnsiTheme="majorHAnsi" w:cstheme="majorHAnsi"/>
          <w:b/>
          <w:bCs/>
          <w:color w:val="FF0000"/>
          <w:sz w:val="22"/>
          <w:szCs w:val="22"/>
        </w:rPr>
        <w:t>Section 94-c</w:t>
      </w:r>
      <w:r>
        <w:rPr>
          <w:rFonts w:asciiTheme="majorHAnsi" w:hAnsiTheme="majorHAnsi" w:cstheme="majorHAnsi"/>
          <w:color w:val="FF0000"/>
          <w:sz w:val="22"/>
          <w:szCs w:val="22"/>
        </w:rPr>
        <w:t>), l</w:t>
      </w:r>
      <w:r w:rsidRPr="00744404">
        <w:rPr>
          <w:rFonts w:asciiTheme="majorHAnsi" w:hAnsiTheme="majorHAnsi" w:cstheme="majorHAnsi"/>
          <w:color w:val="FF0000"/>
          <w:sz w:val="22"/>
          <w:szCs w:val="22"/>
        </w:rPr>
        <w:t>ocal land use regulations must be clear</w:t>
      </w:r>
      <w:r>
        <w:rPr>
          <w:rFonts w:asciiTheme="majorHAnsi" w:hAnsiTheme="majorHAnsi" w:cstheme="majorHAnsi"/>
          <w:color w:val="FF0000"/>
          <w:sz w:val="22"/>
          <w:szCs w:val="22"/>
        </w:rPr>
        <w:t>, i.e. w</w:t>
      </w:r>
      <w:r w:rsidRPr="00744404">
        <w:rPr>
          <w:rFonts w:asciiTheme="majorHAnsi" w:hAnsiTheme="majorHAnsi" w:cstheme="majorHAnsi"/>
          <w:color w:val="FF0000"/>
          <w:sz w:val="22"/>
          <w:szCs w:val="22"/>
        </w:rPr>
        <w:t>here such development is permitted, includ</w:t>
      </w:r>
      <w:r>
        <w:rPr>
          <w:rFonts w:asciiTheme="majorHAnsi" w:hAnsiTheme="majorHAnsi" w:cstheme="majorHAnsi"/>
          <w:color w:val="FF0000"/>
          <w:sz w:val="22"/>
          <w:szCs w:val="22"/>
        </w:rPr>
        <w:t xml:space="preserve">ing </w:t>
      </w:r>
      <w:r w:rsidRPr="00744404">
        <w:rPr>
          <w:rFonts w:asciiTheme="majorHAnsi" w:hAnsiTheme="majorHAnsi" w:cstheme="majorHAnsi"/>
          <w:color w:val="FF0000"/>
          <w:sz w:val="22"/>
          <w:szCs w:val="22"/>
        </w:rPr>
        <w:t xml:space="preserve">prohibition on use of </w:t>
      </w:r>
      <w:r>
        <w:rPr>
          <w:rFonts w:asciiTheme="majorHAnsi" w:hAnsiTheme="majorHAnsi" w:cstheme="majorHAnsi"/>
          <w:color w:val="FF0000"/>
          <w:sz w:val="22"/>
          <w:szCs w:val="22"/>
        </w:rPr>
        <w:t>highest</w:t>
      </w:r>
      <w:r w:rsidRPr="00744404">
        <w:rPr>
          <w:rFonts w:asciiTheme="majorHAnsi" w:hAnsiTheme="majorHAnsi" w:cstheme="majorHAnsi"/>
          <w:color w:val="FF0000"/>
          <w:sz w:val="22"/>
          <w:szCs w:val="22"/>
        </w:rPr>
        <w:t xml:space="preserve"> quality agricultural soils</w:t>
      </w:r>
      <w:r>
        <w:rPr>
          <w:rFonts w:asciiTheme="majorHAnsi" w:hAnsiTheme="majorHAnsi" w:cstheme="majorHAnsi"/>
          <w:color w:val="FF0000"/>
          <w:sz w:val="22"/>
          <w:szCs w:val="22"/>
        </w:rPr>
        <w:t>, and h</w:t>
      </w:r>
      <w:r w:rsidRPr="00744404">
        <w:rPr>
          <w:rFonts w:asciiTheme="majorHAnsi" w:hAnsiTheme="majorHAnsi" w:cstheme="majorHAnsi"/>
          <w:color w:val="FF0000"/>
          <w:sz w:val="22"/>
          <w:szCs w:val="22"/>
        </w:rPr>
        <w:t>ave clear design and operating standards</w:t>
      </w:r>
      <w:r>
        <w:rPr>
          <w:rFonts w:asciiTheme="majorHAnsi" w:hAnsiTheme="majorHAnsi" w:cstheme="majorHAnsi"/>
          <w:color w:val="FF0000"/>
          <w:sz w:val="22"/>
          <w:szCs w:val="22"/>
        </w:rPr>
        <w:t xml:space="preserve">. </w:t>
      </w:r>
      <w:r w:rsidRPr="00536FBA">
        <w:rPr>
          <w:rFonts w:asciiTheme="majorHAnsi" w:hAnsiTheme="majorHAnsi" w:cstheme="majorHAnsi"/>
          <w:b/>
          <w:bCs/>
          <w:color w:val="FF0000"/>
          <w:sz w:val="22"/>
          <w:szCs w:val="22"/>
        </w:rPr>
        <w:t>Renewable Energy Regulations for commercial</w:t>
      </w:r>
      <w:r>
        <w:rPr>
          <w:rFonts w:asciiTheme="majorHAnsi" w:hAnsiTheme="majorHAnsi" w:cstheme="majorHAnsi"/>
          <w:color w:val="FF0000"/>
          <w:sz w:val="22"/>
          <w:szCs w:val="22"/>
        </w:rPr>
        <w:t xml:space="preserve"> wind </w:t>
      </w:r>
      <w:r w:rsidRPr="00744404">
        <w:rPr>
          <w:rFonts w:asciiTheme="majorHAnsi" w:hAnsiTheme="majorHAnsi" w:cstheme="majorHAnsi"/>
          <w:color w:val="FF0000"/>
          <w:sz w:val="22"/>
          <w:szCs w:val="22"/>
        </w:rPr>
        <w:t>energy systems are considered generally compatible with agriculture</w:t>
      </w:r>
      <w:r>
        <w:rPr>
          <w:rFonts w:asciiTheme="majorHAnsi" w:hAnsiTheme="majorHAnsi" w:cstheme="majorHAnsi"/>
          <w:color w:val="FF0000"/>
          <w:sz w:val="22"/>
          <w:szCs w:val="22"/>
        </w:rPr>
        <w:t xml:space="preserve">. </w:t>
      </w:r>
      <w:r w:rsidRPr="00744404">
        <w:rPr>
          <w:rFonts w:asciiTheme="majorHAnsi" w:hAnsiTheme="majorHAnsi" w:cstheme="majorHAnsi"/>
          <w:color w:val="FF0000"/>
          <w:sz w:val="22"/>
          <w:szCs w:val="22"/>
        </w:rPr>
        <w:t>Commercial scale solar can present issues</w:t>
      </w:r>
      <w:r>
        <w:rPr>
          <w:rFonts w:asciiTheme="majorHAnsi" w:hAnsiTheme="majorHAnsi" w:cstheme="majorHAnsi"/>
          <w:color w:val="FF0000"/>
          <w:sz w:val="22"/>
          <w:szCs w:val="22"/>
        </w:rPr>
        <w:t xml:space="preserve"> including c</w:t>
      </w:r>
      <w:r w:rsidRPr="00744404">
        <w:rPr>
          <w:rFonts w:asciiTheme="majorHAnsi" w:hAnsiTheme="majorHAnsi" w:cstheme="majorHAnsi"/>
          <w:color w:val="FF0000"/>
          <w:sz w:val="22"/>
          <w:szCs w:val="22"/>
        </w:rPr>
        <w:t>ompetition for high quality farmland</w:t>
      </w:r>
      <w:r>
        <w:rPr>
          <w:rFonts w:asciiTheme="majorHAnsi" w:hAnsiTheme="majorHAnsi" w:cstheme="majorHAnsi"/>
          <w:color w:val="FF0000"/>
          <w:sz w:val="22"/>
          <w:szCs w:val="22"/>
        </w:rPr>
        <w:t>, so should be l</w:t>
      </w:r>
      <w:r w:rsidRPr="00744404">
        <w:rPr>
          <w:rFonts w:asciiTheme="majorHAnsi" w:hAnsiTheme="majorHAnsi" w:cstheme="majorHAnsi"/>
          <w:color w:val="FF0000"/>
          <w:sz w:val="22"/>
          <w:szCs w:val="22"/>
        </w:rPr>
        <w:t>ocate</w:t>
      </w:r>
      <w:r>
        <w:rPr>
          <w:rFonts w:asciiTheme="majorHAnsi" w:hAnsiTheme="majorHAnsi" w:cstheme="majorHAnsi"/>
          <w:color w:val="FF0000"/>
          <w:sz w:val="22"/>
          <w:szCs w:val="22"/>
        </w:rPr>
        <w:t>d</w:t>
      </w:r>
      <w:r w:rsidRPr="00744404">
        <w:rPr>
          <w:rFonts w:asciiTheme="majorHAnsi" w:hAnsiTheme="majorHAnsi" w:cstheme="majorHAnsi"/>
          <w:color w:val="FF0000"/>
          <w:sz w:val="22"/>
          <w:szCs w:val="22"/>
        </w:rPr>
        <w:t xml:space="preserve"> on inactive farmland, unimproved pasture or other lands</w:t>
      </w:r>
      <w:r>
        <w:rPr>
          <w:rFonts w:asciiTheme="majorHAnsi" w:hAnsiTheme="majorHAnsi" w:cstheme="majorHAnsi"/>
          <w:color w:val="FF0000"/>
          <w:sz w:val="22"/>
          <w:szCs w:val="22"/>
        </w:rPr>
        <w:t xml:space="preserve"> with a d</w:t>
      </w:r>
      <w:r w:rsidRPr="00744404">
        <w:rPr>
          <w:rFonts w:asciiTheme="majorHAnsi" w:hAnsiTheme="majorHAnsi" w:cstheme="majorHAnsi"/>
          <w:color w:val="FF0000"/>
          <w:sz w:val="22"/>
          <w:szCs w:val="22"/>
        </w:rPr>
        <w:t>ecommissioning plan to fully restore site</w:t>
      </w:r>
      <w:r>
        <w:rPr>
          <w:rFonts w:asciiTheme="majorHAnsi" w:hAnsiTheme="majorHAnsi" w:cstheme="majorHAnsi"/>
          <w:color w:val="FF0000"/>
          <w:sz w:val="22"/>
          <w:szCs w:val="22"/>
        </w:rPr>
        <w:t>.</w:t>
      </w:r>
    </w:p>
    <w:p w14:paraId="4CBEA0BF" w14:textId="4829A7C3" w:rsidR="00744404" w:rsidRDefault="00744404" w:rsidP="00744404">
      <w:pPr>
        <w:rPr>
          <w:rFonts w:asciiTheme="majorHAnsi" w:hAnsiTheme="majorHAnsi" w:cstheme="majorHAnsi"/>
          <w:color w:val="FF0000"/>
          <w:sz w:val="22"/>
          <w:szCs w:val="22"/>
        </w:rPr>
      </w:pPr>
    </w:p>
    <w:p w14:paraId="16DBBB1C" w14:textId="77777777" w:rsidR="00744404" w:rsidRPr="00744404" w:rsidRDefault="00744404" w:rsidP="00744404">
      <w:pPr>
        <w:rPr>
          <w:rFonts w:asciiTheme="majorHAnsi" w:hAnsiTheme="majorHAnsi" w:cstheme="majorHAnsi"/>
          <w:color w:val="FF0000"/>
          <w:sz w:val="22"/>
          <w:szCs w:val="22"/>
        </w:rPr>
      </w:pPr>
      <w:r w:rsidRPr="00536FBA">
        <w:rPr>
          <w:rFonts w:asciiTheme="majorHAnsi" w:hAnsiTheme="majorHAnsi" w:cstheme="majorHAnsi"/>
          <w:b/>
          <w:bCs/>
          <w:color w:val="FF0000"/>
          <w:sz w:val="22"/>
          <w:szCs w:val="22"/>
        </w:rPr>
        <w:t>Non-commercial Renewable Energy Regulations solar and wind renewable energy systems</w:t>
      </w:r>
      <w:r w:rsidRPr="00744404">
        <w:rPr>
          <w:rFonts w:asciiTheme="majorHAnsi" w:hAnsiTheme="majorHAnsi" w:cstheme="majorHAnsi"/>
          <w:color w:val="FF0000"/>
          <w:sz w:val="22"/>
          <w:szCs w:val="22"/>
        </w:rPr>
        <w:t xml:space="preserve"> are appropriate accessory uses to agricultural operations and should be permitted as such in zoning codes;</w:t>
      </w:r>
    </w:p>
    <w:p w14:paraId="06A5E1D7" w14:textId="7773B681" w:rsidR="00744404" w:rsidRPr="00744404" w:rsidRDefault="00744404" w:rsidP="00744404">
      <w:pPr>
        <w:pStyle w:val="ListParagraph"/>
        <w:numPr>
          <w:ilvl w:val="0"/>
          <w:numId w:val="1"/>
        </w:numPr>
        <w:rPr>
          <w:rFonts w:asciiTheme="majorHAnsi" w:hAnsiTheme="majorHAnsi" w:cstheme="majorHAnsi"/>
          <w:color w:val="FF0000"/>
          <w:sz w:val="22"/>
          <w:szCs w:val="22"/>
        </w:rPr>
      </w:pPr>
      <w:r w:rsidRPr="00744404">
        <w:rPr>
          <w:rFonts w:asciiTheme="majorHAnsi" w:hAnsiTheme="majorHAnsi" w:cstheme="majorHAnsi"/>
          <w:color w:val="FF0000"/>
          <w:sz w:val="22"/>
          <w:szCs w:val="22"/>
        </w:rPr>
        <w:t>Protected uses under the "use of land, buildings, structures, equipment" language in the NYS definition of farm operation</w:t>
      </w:r>
    </w:p>
    <w:p w14:paraId="0115BEA8" w14:textId="47468546" w:rsidR="00744404" w:rsidRPr="00536FBA" w:rsidRDefault="00536FBA" w:rsidP="00536FBA">
      <w:pPr>
        <w:pStyle w:val="ListParagraph"/>
        <w:numPr>
          <w:ilvl w:val="0"/>
          <w:numId w:val="1"/>
        </w:numPr>
        <w:rPr>
          <w:rFonts w:asciiTheme="majorHAnsi" w:hAnsiTheme="majorHAnsi" w:cstheme="majorHAnsi"/>
          <w:color w:val="FF0000"/>
          <w:sz w:val="22"/>
          <w:szCs w:val="22"/>
        </w:rPr>
      </w:pPr>
      <w:r>
        <w:rPr>
          <w:rFonts w:asciiTheme="majorHAnsi" w:hAnsiTheme="majorHAnsi" w:cstheme="majorHAnsi"/>
          <w:color w:val="FF0000"/>
          <w:sz w:val="22"/>
          <w:szCs w:val="22"/>
        </w:rPr>
        <w:t>P</w:t>
      </w:r>
      <w:r w:rsidR="00744404" w:rsidRPr="00536FBA">
        <w:rPr>
          <w:rFonts w:asciiTheme="majorHAnsi" w:hAnsiTheme="majorHAnsi" w:cstheme="majorHAnsi"/>
          <w:color w:val="FF0000"/>
          <w:sz w:val="22"/>
          <w:szCs w:val="22"/>
        </w:rPr>
        <w:t>ermitted by right with building, other relevant permits.</w:t>
      </w:r>
    </w:p>
    <w:p w14:paraId="4B3942CA" w14:textId="6EC4097C" w:rsidR="00233BB9" w:rsidRPr="00E53247" w:rsidRDefault="00233BB9" w:rsidP="00233BB9">
      <w:pPr>
        <w:rPr>
          <w:rFonts w:asciiTheme="majorHAnsi" w:hAnsiTheme="majorHAnsi" w:cstheme="majorHAnsi"/>
          <w:b/>
          <w:bCs/>
          <w:sz w:val="22"/>
          <w:szCs w:val="22"/>
        </w:rPr>
      </w:pPr>
    </w:p>
    <w:p w14:paraId="5EDF6D8C" w14:textId="376FEB99" w:rsidR="00233BB9" w:rsidRPr="00E53247" w:rsidRDefault="00233BB9" w:rsidP="00233BB9">
      <w:pPr>
        <w:autoSpaceDE w:val="0"/>
        <w:autoSpaceDN w:val="0"/>
        <w:adjustRightInd w:val="0"/>
        <w:rPr>
          <w:rFonts w:asciiTheme="majorHAnsi" w:hAnsiTheme="majorHAnsi" w:cstheme="majorHAnsi"/>
          <w:b/>
          <w:bCs/>
          <w:sz w:val="22"/>
          <w:szCs w:val="22"/>
        </w:rPr>
      </w:pPr>
      <w:r w:rsidRPr="00E53247">
        <w:rPr>
          <w:rFonts w:asciiTheme="majorHAnsi" w:hAnsiTheme="majorHAnsi" w:cstheme="majorHAnsi"/>
          <w:b/>
          <w:bCs/>
          <w:sz w:val="22"/>
          <w:szCs w:val="22"/>
        </w:rPr>
        <w:t>Lu5</w:t>
      </w:r>
      <w:r w:rsidR="00E53247" w:rsidRPr="00E53247">
        <w:rPr>
          <w:rFonts w:asciiTheme="majorHAnsi" w:hAnsiTheme="majorHAnsi" w:cstheme="majorHAnsi"/>
          <w:b/>
          <w:bCs/>
          <w:sz w:val="22"/>
          <w:szCs w:val="22"/>
        </w:rPr>
        <w:t xml:space="preserve"> </w:t>
      </w:r>
      <w:r w:rsidR="00E53247" w:rsidRPr="00E53247">
        <w:rPr>
          <w:rFonts w:asciiTheme="majorHAnsi" w:hAnsiTheme="majorHAnsi" w:cstheme="majorHAnsi"/>
          <w:b/>
          <w:bCs/>
          <w:sz w:val="22"/>
          <w:szCs w:val="22"/>
        </w:rPr>
        <w:t>Mapping, Research, Planning, and Assistance</w:t>
      </w:r>
    </w:p>
    <w:p w14:paraId="138EB277" w14:textId="1C4003D3"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 xml:space="preserve">• Develop a </w:t>
      </w:r>
      <w:r w:rsidRPr="00536FBA">
        <w:rPr>
          <w:rFonts w:asciiTheme="majorHAnsi" w:hAnsiTheme="majorHAnsi" w:cstheme="majorHAnsi"/>
          <w:b/>
          <w:bCs/>
          <w:sz w:val="22"/>
          <w:szCs w:val="22"/>
        </w:rPr>
        <w:t>statewide conservation framework</w:t>
      </w:r>
      <w:r w:rsidRPr="0026534A">
        <w:rPr>
          <w:rFonts w:asciiTheme="majorHAnsi" w:hAnsiTheme="majorHAnsi" w:cstheme="majorHAnsi"/>
          <w:sz w:val="22"/>
          <w:szCs w:val="22"/>
        </w:rPr>
        <w:t>: DEC should develop a statewide conservation</w:t>
      </w:r>
    </w:p>
    <w:p w14:paraId="64613E51"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framework245 that incorporates current, accurate spatial data on critical ecosystems (terrestrial and</w:t>
      </w:r>
    </w:p>
    <w:p w14:paraId="71ACCC89" w14:textId="3CFC6595" w:rsidR="00233BB9" w:rsidRPr="0026534A" w:rsidRDefault="00233BB9" w:rsidP="00233BB9">
      <w:pPr>
        <w:rPr>
          <w:rFonts w:asciiTheme="majorHAnsi" w:hAnsiTheme="majorHAnsi" w:cstheme="majorHAnsi"/>
          <w:sz w:val="22"/>
          <w:szCs w:val="22"/>
        </w:rPr>
      </w:pPr>
      <w:r w:rsidRPr="0026534A">
        <w:rPr>
          <w:rFonts w:asciiTheme="majorHAnsi" w:hAnsiTheme="majorHAnsi" w:cstheme="majorHAnsi"/>
          <w:sz w:val="22"/>
          <w:szCs w:val="22"/>
        </w:rPr>
        <w:t xml:space="preserve">aquatic), including priority </w:t>
      </w:r>
      <w:proofErr w:type="spellStart"/>
      <w:r w:rsidRPr="0026534A">
        <w:rPr>
          <w:rFonts w:asciiTheme="majorHAnsi" w:hAnsiTheme="majorHAnsi" w:cstheme="majorHAnsi"/>
          <w:sz w:val="22"/>
          <w:szCs w:val="22"/>
        </w:rPr>
        <w:t>ecosys</w:t>
      </w:r>
      <w:proofErr w:type="spellEnd"/>
      <w:r w:rsidRPr="0026534A">
        <w:rPr>
          <w:rFonts w:asciiTheme="majorHAnsi" w:hAnsiTheme="majorHAnsi" w:cstheme="majorHAnsi"/>
          <w:sz w:val="22"/>
          <w:szCs w:val="22"/>
        </w:rPr>
        <w:t>…</w:t>
      </w:r>
    </w:p>
    <w:p w14:paraId="39D1D694" w14:textId="4221B040" w:rsidR="00233BB9" w:rsidRPr="0026534A" w:rsidRDefault="00233BB9" w:rsidP="00233BB9">
      <w:pPr>
        <w:rPr>
          <w:rFonts w:asciiTheme="majorHAnsi" w:hAnsiTheme="majorHAnsi" w:cstheme="majorHAnsi"/>
          <w:sz w:val="22"/>
          <w:szCs w:val="22"/>
        </w:rPr>
      </w:pPr>
    </w:p>
    <w:p w14:paraId="3C339B61" w14:textId="77777777" w:rsidR="00233BB9" w:rsidRPr="00B60BD7" w:rsidRDefault="00233BB9" w:rsidP="00233BB9">
      <w:pPr>
        <w:autoSpaceDE w:val="0"/>
        <w:autoSpaceDN w:val="0"/>
        <w:adjustRightInd w:val="0"/>
        <w:rPr>
          <w:rFonts w:asciiTheme="majorHAnsi" w:hAnsiTheme="majorHAnsi" w:cstheme="majorHAnsi"/>
          <w:color w:val="FF0000"/>
          <w:sz w:val="22"/>
          <w:szCs w:val="22"/>
        </w:rPr>
      </w:pPr>
      <w:r w:rsidRPr="00B60BD7">
        <w:rPr>
          <w:rFonts w:asciiTheme="majorHAnsi" w:hAnsiTheme="majorHAnsi" w:cstheme="majorHAnsi"/>
          <w:color w:val="FF0000"/>
          <w:sz w:val="22"/>
          <w:szCs w:val="22"/>
        </w:rPr>
        <w:t xml:space="preserve">• </w:t>
      </w:r>
      <w:r w:rsidRPr="00B60BD7">
        <w:rPr>
          <w:rFonts w:asciiTheme="majorHAnsi" w:hAnsiTheme="majorHAnsi" w:cstheme="majorHAnsi"/>
          <w:b/>
          <w:bCs/>
          <w:color w:val="FF0000"/>
          <w:sz w:val="22"/>
          <w:szCs w:val="22"/>
        </w:rPr>
        <w:t>Assist local governments to create land-use policies</w:t>
      </w:r>
      <w:r w:rsidRPr="00B60BD7">
        <w:rPr>
          <w:rFonts w:asciiTheme="majorHAnsi" w:hAnsiTheme="majorHAnsi" w:cstheme="majorHAnsi"/>
          <w:color w:val="FF0000"/>
          <w:sz w:val="22"/>
          <w:szCs w:val="22"/>
        </w:rPr>
        <w:t>:246 DOS, DEC, and the Legislature should</w:t>
      </w:r>
    </w:p>
    <w:p w14:paraId="22DCAD82" w14:textId="77777777" w:rsidR="00233BB9" w:rsidRPr="00B60BD7" w:rsidRDefault="00233BB9" w:rsidP="00233BB9">
      <w:pPr>
        <w:autoSpaceDE w:val="0"/>
        <w:autoSpaceDN w:val="0"/>
        <w:adjustRightInd w:val="0"/>
        <w:rPr>
          <w:rFonts w:asciiTheme="majorHAnsi" w:hAnsiTheme="majorHAnsi" w:cstheme="majorHAnsi"/>
          <w:color w:val="FF0000"/>
          <w:sz w:val="22"/>
          <w:szCs w:val="22"/>
        </w:rPr>
      </w:pPr>
      <w:r w:rsidRPr="00B60BD7">
        <w:rPr>
          <w:rFonts w:asciiTheme="majorHAnsi" w:hAnsiTheme="majorHAnsi" w:cstheme="majorHAnsi"/>
          <w:color w:val="FF0000"/>
          <w:sz w:val="22"/>
          <w:szCs w:val="22"/>
        </w:rPr>
        <w:lastRenderedPageBreak/>
        <w:t>assist county and local governments to create land-use policies, land conservation programs, and</w:t>
      </w:r>
    </w:p>
    <w:p w14:paraId="06F922D5" w14:textId="2D218C11" w:rsidR="00233BB9" w:rsidRPr="0026534A" w:rsidRDefault="00233BB9" w:rsidP="00233BB9">
      <w:pPr>
        <w:autoSpaceDE w:val="0"/>
        <w:autoSpaceDN w:val="0"/>
        <w:adjustRightInd w:val="0"/>
        <w:rPr>
          <w:rFonts w:asciiTheme="majorHAnsi" w:hAnsiTheme="majorHAnsi" w:cstheme="majorHAnsi"/>
          <w:sz w:val="22"/>
          <w:szCs w:val="22"/>
        </w:rPr>
      </w:pPr>
      <w:r w:rsidRPr="00B60BD7">
        <w:rPr>
          <w:rFonts w:asciiTheme="majorHAnsi" w:hAnsiTheme="majorHAnsi" w:cstheme="majorHAnsi"/>
          <w:color w:val="FF0000"/>
          <w:sz w:val="22"/>
          <w:szCs w:val="22"/>
        </w:rPr>
        <w:t xml:space="preserve">smart growth strategies that prioritize and protect </w:t>
      </w:r>
      <w:r w:rsidR="00B60BD7">
        <w:rPr>
          <w:rFonts w:asciiTheme="majorHAnsi" w:hAnsiTheme="majorHAnsi" w:cstheme="majorHAnsi"/>
          <w:color w:val="FF0000"/>
          <w:sz w:val="22"/>
          <w:szCs w:val="22"/>
        </w:rPr>
        <w:t xml:space="preserve">(YES!) </w:t>
      </w:r>
      <w:r w:rsidRPr="0026534A">
        <w:rPr>
          <w:rFonts w:asciiTheme="majorHAnsi" w:hAnsiTheme="majorHAnsi" w:cstheme="majorHAnsi"/>
          <w:sz w:val="22"/>
          <w:szCs w:val="22"/>
        </w:rPr>
        <w:t>wetlands, forests, grasslands, stream buffers,</w:t>
      </w:r>
    </w:p>
    <w:p w14:paraId="1EB9E740"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and other natural areas (such as the statewide authorization of Community Preservation Act;</w:t>
      </w:r>
    </w:p>
    <w:p w14:paraId="5CE9399F"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training and support on use of CRRA model local laws, comprehensive planning language,</w:t>
      </w:r>
    </w:p>
    <w:p w14:paraId="7A546B84"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zoning, and other conservation planning approaches; and funding for Conservation Advisory</w:t>
      </w:r>
    </w:p>
    <w:p w14:paraId="13AD903B"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Committees and Environmental Management Councils). Key stakeholders should include</w:t>
      </w:r>
    </w:p>
    <w:p w14:paraId="0482E2DB"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regional and county planning commissions, counties, municipalities, conservation NGOs, and</w:t>
      </w:r>
    </w:p>
    <w:p w14:paraId="217361D7" w14:textId="062F4B3B" w:rsidR="00233BB9" w:rsidRPr="0026534A" w:rsidRDefault="00233BB9" w:rsidP="00233BB9">
      <w:pPr>
        <w:rPr>
          <w:rFonts w:asciiTheme="majorHAnsi" w:hAnsiTheme="majorHAnsi" w:cstheme="majorHAnsi"/>
          <w:sz w:val="22"/>
          <w:szCs w:val="22"/>
        </w:rPr>
      </w:pPr>
      <w:r w:rsidRPr="0026534A">
        <w:rPr>
          <w:rFonts w:asciiTheme="majorHAnsi" w:hAnsiTheme="majorHAnsi" w:cstheme="majorHAnsi"/>
          <w:sz w:val="22"/>
          <w:szCs w:val="22"/>
        </w:rPr>
        <w:t>SWCDs.</w:t>
      </w:r>
    </w:p>
    <w:p w14:paraId="5F65BFA4" w14:textId="5D75F308" w:rsidR="00233BB9" w:rsidRPr="0026534A" w:rsidRDefault="00233BB9" w:rsidP="00233BB9">
      <w:pPr>
        <w:rPr>
          <w:rFonts w:asciiTheme="majorHAnsi" w:hAnsiTheme="majorHAnsi" w:cstheme="majorHAnsi"/>
          <w:sz w:val="22"/>
          <w:szCs w:val="22"/>
        </w:rPr>
      </w:pPr>
    </w:p>
    <w:p w14:paraId="30B7F9ED" w14:textId="77777777" w:rsidR="00233BB9" w:rsidRPr="0026534A" w:rsidRDefault="00233BB9" w:rsidP="00233BB9">
      <w:pPr>
        <w:autoSpaceDE w:val="0"/>
        <w:autoSpaceDN w:val="0"/>
        <w:adjustRightInd w:val="0"/>
        <w:rPr>
          <w:rFonts w:asciiTheme="majorHAnsi" w:hAnsiTheme="majorHAnsi" w:cstheme="majorHAnsi"/>
          <w:sz w:val="22"/>
          <w:szCs w:val="22"/>
        </w:rPr>
      </w:pPr>
      <w:r w:rsidRPr="00536FBA">
        <w:rPr>
          <w:rFonts w:asciiTheme="majorHAnsi" w:hAnsiTheme="majorHAnsi" w:cstheme="majorHAnsi"/>
          <w:b/>
          <w:bCs/>
          <w:sz w:val="22"/>
          <w:szCs w:val="22"/>
        </w:rPr>
        <w:t>Provide conservation incentives to landowners</w:t>
      </w:r>
      <w:r w:rsidRPr="0026534A">
        <w:rPr>
          <w:rFonts w:asciiTheme="majorHAnsi" w:hAnsiTheme="majorHAnsi" w:cstheme="majorHAnsi"/>
          <w:sz w:val="22"/>
          <w:szCs w:val="22"/>
        </w:rPr>
        <w:t>: The State should enhance and create</w:t>
      </w:r>
    </w:p>
    <w:p w14:paraId="1CFBC78D"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landowner incentives and other techniques to conserve and restore tidal and non-tidal wetlands,</w:t>
      </w:r>
    </w:p>
    <w:p w14:paraId="02232685"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forests, grasslands, and natural areas and utilize living shoreline and nature-based solutions (such</w:t>
      </w:r>
    </w:p>
    <w:p w14:paraId="10F96ECC" w14:textId="4A643B78" w:rsidR="00233BB9" w:rsidRPr="0026534A" w:rsidRDefault="00233BB9" w:rsidP="00233BB9">
      <w:pPr>
        <w:rPr>
          <w:rFonts w:asciiTheme="majorHAnsi" w:hAnsiTheme="majorHAnsi" w:cstheme="majorHAnsi"/>
          <w:sz w:val="22"/>
          <w:szCs w:val="22"/>
        </w:rPr>
      </w:pPr>
      <w:r w:rsidRPr="0026534A">
        <w:rPr>
          <w:rFonts w:asciiTheme="majorHAnsi" w:hAnsiTheme="majorHAnsi" w:cstheme="majorHAnsi"/>
          <w:sz w:val="22"/>
          <w:szCs w:val="22"/>
        </w:rPr>
        <w:t>as tax abatement programs, tax incentives, land conservation programs, and PES).</w:t>
      </w:r>
    </w:p>
    <w:p w14:paraId="024A4B8E" w14:textId="77413BB5" w:rsidR="00233BB9" w:rsidRPr="0026534A" w:rsidRDefault="00233BB9" w:rsidP="00233BB9">
      <w:pPr>
        <w:rPr>
          <w:rFonts w:asciiTheme="majorHAnsi" w:hAnsiTheme="majorHAnsi" w:cstheme="majorHAnsi"/>
          <w:sz w:val="22"/>
          <w:szCs w:val="22"/>
        </w:rPr>
      </w:pPr>
    </w:p>
    <w:p w14:paraId="28002301"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 xml:space="preserve">• </w:t>
      </w:r>
      <w:r w:rsidRPr="00536FBA">
        <w:rPr>
          <w:rFonts w:asciiTheme="majorHAnsi" w:hAnsiTheme="majorHAnsi" w:cstheme="majorHAnsi"/>
          <w:b/>
          <w:bCs/>
          <w:sz w:val="22"/>
          <w:szCs w:val="22"/>
        </w:rPr>
        <w:t>Research and monitor carbon storage and sequestration potential</w:t>
      </w:r>
      <w:r w:rsidRPr="0026534A">
        <w:rPr>
          <w:rFonts w:asciiTheme="majorHAnsi" w:hAnsiTheme="majorHAnsi" w:cstheme="majorHAnsi"/>
          <w:sz w:val="22"/>
          <w:szCs w:val="22"/>
        </w:rPr>
        <w:t>: The State should fund</w:t>
      </w:r>
    </w:p>
    <w:p w14:paraId="284B9EC7"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research, analysis, and monitoring to determine carbon storage and sequestration potential of tidal</w:t>
      </w:r>
    </w:p>
    <w:p w14:paraId="781701B8"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and non-tidal wetlands, submerged aquatic vegetation, forests, and other priority natural areas, to</w:t>
      </w:r>
    </w:p>
    <w:p w14:paraId="1BC4F775"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increase understanding of mitigation opportunities and to establish siting protocols and priorities</w:t>
      </w:r>
    </w:p>
    <w:p w14:paraId="73325E2C" w14:textId="2D2D582B" w:rsidR="00233BB9" w:rsidRPr="0026534A" w:rsidRDefault="00233BB9" w:rsidP="00233BB9">
      <w:pPr>
        <w:rPr>
          <w:rFonts w:asciiTheme="majorHAnsi" w:hAnsiTheme="majorHAnsi" w:cstheme="majorHAnsi"/>
          <w:sz w:val="22"/>
          <w:szCs w:val="22"/>
        </w:rPr>
      </w:pPr>
      <w:r w:rsidRPr="0026534A">
        <w:rPr>
          <w:rFonts w:asciiTheme="majorHAnsi" w:hAnsiTheme="majorHAnsi" w:cstheme="majorHAnsi"/>
          <w:sz w:val="22"/>
          <w:szCs w:val="22"/>
        </w:rPr>
        <w:t>for conservation and restoration.</w:t>
      </w:r>
    </w:p>
    <w:p w14:paraId="1B24A6AC" w14:textId="681AE16F" w:rsidR="00233BB9" w:rsidRPr="0026534A" w:rsidRDefault="00233BB9" w:rsidP="00233BB9">
      <w:pPr>
        <w:rPr>
          <w:rFonts w:asciiTheme="majorHAnsi" w:hAnsiTheme="majorHAnsi" w:cstheme="majorHAnsi"/>
          <w:sz w:val="22"/>
          <w:szCs w:val="22"/>
        </w:rPr>
      </w:pPr>
    </w:p>
    <w:p w14:paraId="7B45A3C8"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 xml:space="preserve">• </w:t>
      </w:r>
      <w:r w:rsidRPr="00536FBA">
        <w:rPr>
          <w:rFonts w:asciiTheme="majorHAnsi" w:hAnsiTheme="majorHAnsi" w:cstheme="majorHAnsi"/>
          <w:b/>
          <w:bCs/>
          <w:sz w:val="22"/>
          <w:szCs w:val="22"/>
        </w:rPr>
        <w:t>Support the development of local natural resource inventories</w:t>
      </w:r>
      <w:r w:rsidRPr="0026534A">
        <w:rPr>
          <w:rFonts w:asciiTheme="majorHAnsi" w:hAnsiTheme="majorHAnsi" w:cstheme="majorHAnsi"/>
          <w:sz w:val="22"/>
          <w:szCs w:val="22"/>
        </w:rPr>
        <w:t>: State agencies, such as DEC,</w:t>
      </w:r>
    </w:p>
    <w:p w14:paraId="39A92884"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DOS, and/or AGM, should provide funding to further development of natural resource</w:t>
      </w:r>
    </w:p>
    <w:p w14:paraId="29842958" w14:textId="3F9C334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inventories, critical barriers, and other local and regional smart growth planning and decision</w:t>
      </w:r>
      <w:r w:rsidR="00536FBA">
        <w:rPr>
          <w:rFonts w:asciiTheme="majorHAnsi" w:hAnsiTheme="majorHAnsi" w:cstheme="majorHAnsi"/>
          <w:sz w:val="22"/>
          <w:szCs w:val="22"/>
        </w:rPr>
        <w:t xml:space="preserve"> </w:t>
      </w:r>
      <w:r w:rsidRPr="0026534A">
        <w:rPr>
          <w:rFonts w:asciiTheme="majorHAnsi" w:hAnsiTheme="majorHAnsi" w:cstheme="majorHAnsi"/>
          <w:sz w:val="22"/>
          <w:szCs w:val="22"/>
        </w:rPr>
        <w:t>making</w:t>
      </w:r>
    </w:p>
    <w:p w14:paraId="0470DA3E" w14:textId="1F11F1A6" w:rsidR="00536FBA" w:rsidRPr="00536FBA" w:rsidRDefault="00233BB9" w:rsidP="00233BB9">
      <w:pPr>
        <w:rPr>
          <w:rFonts w:asciiTheme="majorHAnsi" w:hAnsiTheme="majorHAnsi" w:cstheme="majorHAnsi"/>
          <w:color w:val="FF0000"/>
          <w:sz w:val="22"/>
          <w:szCs w:val="22"/>
        </w:rPr>
      </w:pPr>
      <w:r w:rsidRPr="0026534A">
        <w:rPr>
          <w:rFonts w:asciiTheme="majorHAnsi" w:hAnsiTheme="majorHAnsi" w:cstheme="majorHAnsi"/>
          <w:sz w:val="22"/>
          <w:szCs w:val="22"/>
        </w:rPr>
        <w:t>resources (such as maps to identify suitable reforestation locations</w:t>
      </w:r>
      <w:r w:rsidR="00536FBA">
        <w:rPr>
          <w:rFonts w:asciiTheme="majorHAnsi" w:hAnsiTheme="majorHAnsi" w:cstheme="majorHAnsi"/>
          <w:sz w:val="22"/>
          <w:szCs w:val="22"/>
        </w:rPr>
        <w:t xml:space="preserve">. </w:t>
      </w:r>
      <w:r w:rsidR="00536FBA" w:rsidRPr="00536FBA">
        <w:rPr>
          <w:rFonts w:asciiTheme="majorHAnsi" w:hAnsiTheme="majorHAnsi" w:cstheme="majorHAnsi"/>
          <w:color w:val="FF0000"/>
          <w:sz w:val="22"/>
          <w:szCs w:val="22"/>
        </w:rPr>
        <w:t>We</w:t>
      </w:r>
      <w:r w:rsidR="00536FBA">
        <w:rPr>
          <w:rFonts w:asciiTheme="majorHAnsi" w:hAnsiTheme="majorHAnsi" w:cstheme="majorHAnsi"/>
          <w:color w:val="FF0000"/>
          <w:sz w:val="22"/>
          <w:szCs w:val="22"/>
        </w:rPr>
        <w:t xml:space="preserve"> have done this, mapping “potential conservation lands” for each of 5 CNY Counties, and developed individual municipal mapping for several municipalities that expressed interest in having these maps. The maps locate all parcels and all sensitive lands from steep slopes and forested lands to ag districts, wooded wetlands and aquifers. This mapping is a companion piece to CSD and Fixed Ratio Zoning and can be prepared for any municipality at a scale they can use.</w:t>
      </w:r>
    </w:p>
    <w:p w14:paraId="1BFC2881" w14:textId="33AA8C25" w:rsidR="00233BB9" w:rsidRPr="0026534A" w:rsidRDefault="00233BB9" w:rsidP="00233BB9">
      <w:pPr>
        <w:rPr>
          <w:rFonts w:asciiTheme="majorHAnsi" w:hAnsiTheme="majorHAnsi" w:cstheme="majorHAnsi"/>
          <w:sz w:val="22"/>
          <w:szCs w:val="22"/>
        </w:rPr>
      </w:pPr>
    </w:p>
    <w:p w14:paraId="08915391" w14:textId="1C034519" w:rsidR="00233BB9" w:rsidRPr="00536FBA" w:rsidRDefault="00233BB9" w:rsidP="00233BB9">
      <w:pPr>
        <w:autoSpaceDE w:val="0"/>
        <w:autoSpaceDN w:val="0"/>
        <w:adjustRightInd w:val="0"/>
        <w:rPr>
          <w:rFonts w:asciiTheme="majorHAnsi" w:hAnsiTheme="majorHAnsi" w:cstheme="majorHAnsi"/>
          <w:sz w:val="22"/>
          <w:szCs w:val="22"/>
        </w:rPr>
      </w:pPr>
      <w:r w:rsidRPr="00536FBA">
        <w:rPr>
          <w:rFonts w:asciiTheme="majorHAnsi" w:hAnsiTheme="majorHAnsi" w:cstheme="majorHAnsi"/>
          <w:b/>
          <w:bCs/>
          <w:sz w:val="22"/>
          <w:szCs w:val="22"/>
        </w:rPr>
        <w:t>LU9. Regional and County Planning and Technical Assistance</w:t>
      </w:r>
      <w:r w:rsidR="00536FBA">
        <w:rPr>
          <w:rFonts w:asciiTheme="majorHAnsi" w:hAnsiTheme="majorHAnsi" w:cstheme="majorHAnsi"/>
          <w:b/>
          <w:bCs/>
          <w:sz w:val="22"/>
          <w:szCs w:val="22"/>
        </w:rPr>
        <w:t xml:space="preserve"> </w:t>
      </w:r>
      <w:r w:rsidR="00536FBA" w:rsidRPr="00536FBA">
        <w:rPr>
          <w:rFonts w:asciiTheme="majorHAnsi" w:hAnsiTheme="majorHAnsi" w:cstheme="majorHAnsi"/>
          <w:color w:val="FF0000"/>
          <w:sz w:val="22"/>
          <w:szCs w:val="22"/>
        </w:rPr>
        <w:t>Yes, so many resources are shared across municipal boundaries.</w:t>
      </w:r>
    </w:p>
    <w:p w14:paraId="589AA7CD" w14:textId="004BF3BB"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Regional and county planning should guide future growth, redevelopment, and conservation at the multi</w:t>
      </w:r>
      <w:r w:rsidR="00536FBA">
        <w:rPr>
          <w:rFonts w:asciiTheme="majorHAnsi" w:hAnsiTheme="majorHAnsi" w:cstheme="majorHAnsi"/>
          <w:sz w:val="22"/>
          <w:szCs w:val="22"/>
        </w:rPr>
        <w:t>-</w:t>
      </w:r>
      <w:r w:rsidRPr="0026534A">
        <w:rPr>
          <w:rFonts w:asciiTheme="majorHAnsi" w:hAnsiTheme="majorHAnsi" w:cstheme="majorHAnsi"/>
          <w:sz w:val="22"/>
          <w:szCs w:val="22"/>
        </w:rPr>
        <w:t>municipal scale. There should be facilitation and support of collaborative multi-municipal smart growth</w:t>
      </w:r>
      <w:r w:rsidR="00536FBA">
        <w:rPr>
          <w:rFonts w:asciiTheme="majorHAnsi" w:hAnsiTheme="majorHAnsi" w:cstheme="majorHAnsi"/>
          <w:sz w:val="22"/>
          <w:szCs w:val="22"/>
        </w:rPr>
        <w:t xml:space="preserve"> </w:t>
      </w:r>
      <w:r w:rsidRPr="0026534A">
        <w:rPr>
          <w:rFonts w:asciiTheme="majorHAnsi" w:hAnsiTheme="majorHAnsi" w:cstheme="majorHAnsi"/>
          <w:sz w:val="22"/>
          <w:szCs w:val="22"/>
        </w:rPr>
        <w:t>comprehensive planning at the county and regional scales to inform and guide land-use decisions,</w:t>
      </w:r>
    </w:p>
    <w:p w14:paraId="40243D03"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including designation of priority development areas and priority conservation areas. While land use</w:t>
      </w:r>
    </w:p>
    <w:p w14:paraId="49457840"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zoning, which determines final land use and development decisions, falls within the jurisdiction of</w:t>
      </w:r>
    </w:p>
    <w:p w14:paraId="2287AD5B" w14:textId="74E7EBBF"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municipalities, this broader regional lens is necessary to inform those local decisions to serve broader land</w:t>
      </w:r>
      <w:r w:rsidR="00536FBA">
        <w:rPr>
          <w:rFonts w:asciiTheme="majorHAnsi" w:hAnsiTheme="majorHAnsi" w:cstheme="majorHAnsi"/>
          <w:sz w:val="22"/>
          <w:szCs w:val="22"/>
        </w:rPr>
        <w:t xml:space="preserve"> </w:t>
      </w:r>
      <w:r w:rsidRPr="0026534A">
        <w:rPr>
          <w:rFonts w:asciiTheme="majorHAnsi" w:hAnsiTheme="majorHAnsi" w:cstheme="majorHAnsi"/>
          <w:sz w:val="22"/>
          <w:szCs w:val="22"/>
        </w:rPr>
        <w:t>use goals that transcend municipal boundaries--i.e., regional economies, daily travel patterns and</w:t>
      </w:r>
    </w:p>
    <w:p w14:paraId="4A122F89"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transportation systems, housing needs (particularly the availability of permanent affordable housing to</w:t>
      </w:r>
    </w:p>
    <w:p w14:paraId="36B66C71"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meet the entire region’s needs and avoid displacement and gentrification, as highlighted by the CJWG)</w:t>
      </w:r>
    </w:p>
    <w:p w14:paraId="4C1A7875" w14:textId="447E8E6C" w:rsidR="00233BB9" w:rsidRPr="0026534A" w:rsidRDefault="00233BB9" w:rsidP="00233BB9">
      <w:pPr>
        <w:rPr>
          <w:rFonts w:asciiTheme="majorHAnsi" w:hAnsiTheme="majorHAnsi" w:cstheme="majorHAnsi"/>
          <w:sz w:val="22"/>
          <w:szCs w:val="22"/>
        </w:rPr>
      </w:pPr>
      <w:r w:rsidRPr="0026534A">
        <w:rPr>
          <w:rFonts w:asciiTheme="majorHAnsi" w:hAnsiTheme="majorHAnsi" w:cstheme="majorHAnsi"/>
          <w:sz w:val="22"/>
          <w:szCs w:val="22"/>
        </w:rPr>
        <w:t>hydrologic functions, open space preservation, and ecosystem health, among others.</w:t>
      </w:r>
    </w:p>
    <w:p w14:paraId="4D547984" w14:textId="3CC6A1E2" w:rsidR="00233BB9" w:rsidRPr="0026534A" w:rsidRDefault="00233BB9" w:rsidP="00233BB9">
      <w:pPr>
        <w:rPr>
          <w:rFonts w:asciiTheme="majorHAnsi" w:hAnsiTheme="majorHAnsi" w:cstheme="majorHAnsi"/>
          <w:sz w:val="22"/>
          <w:szCs w:val="22"/>
        </w:rPr>
      </w:pPr>
    </w:p>
    <w:p w14:paraId="5C0B5117" w14:textId="442FEE0F" w:rsidR="00233BB9" w:rsidRPr="00536FBA" w:rsidRDefault="00233BB9" w:rsidP="00233BB9">
      <w:pPr>
        <w:autoSpaceDE w:val="0"/>
        <w:autoSpaceDN w:val="0"/>
        <w:adjustRightInd w:val="0"/>
        <w:rPr>
          <w:rFonts w:asciiTheme="majorHAnsi" w:hAnsiTheme="majorHAnsi" w:cstheme="majorHAnsi"/>
          <w:color w:val="FF0000"/>
          <w:sz w:val="22"/>
          <w:szCs w:val="22"/>
        </w:rPr>
      </w:pPr>
      <w:r w:rsidRPr="00536FBA">
        <w:rPr>
          <w:rFonts w:asciiTheme="majorHAnsi" w:hAnsiTheme="majorHAnsi" w:cstheme="majorHAnsi"/>
          <w:b/>
          <w:bCs/>
          <w:sz w:val="22"/>
          <w:szCs w:val="22"/>
        </w:rPr>
        <w:t>LU12. Accelerate Transit-Oriented Development</w:t>
      </w:r>
      <w:r w:rsidR="00536FBA">
        <w:rPr>
          <w:rFonts w:asciiTheme="majorHAnsi" w:hAnsiTheme="majorHAnsi" w:cstheme="majorHAnsi"/>
          <w:b/>
          <w:bCs/>
          <w:sz w:val="22"/>
          <w:szCs w:val="22"/>
        </w:rPr>
        <w:t xml:space="preserve">, </w:t>
      </w:r>
      <w:proofErr w:type="gramStart"/>
      <w:r w:rsidR="00536FBA">
        <w:rPr>
          <w:rFonts w:asciiTheme="majorHAnsi" w:hAnsiTheme="majorHAnsi" w:cstheme="majorHAnsi"/>
          <w:color w:val="FF0000"/>
          <w:sz w:val="22"/>
          <w:szCs w:val="22"/>
        </w:rPr>
        <w:t>In</w:t>
      </w:r>
      <w:proofErr w:type="gramEnd"/>
      <w:r w:rsidR="00536FBA">
        <w:rPr>
          <w:rFonts w:asciiTheme="majorHAnsi" w:hAnsiTheme="majorHAnsi" w:cstheme="majorHAnsi"/>
          <w:color w:val="FF0000"/>
          <w:sz w:val="22"/>
          <w:szCs w:val="22"/>
        </w:rPr>
        <w:t xml:space="preserve"> conjunction with CSD, or Fixed Ratio Zoning, TOD can be an even more powerful tool</w:t>
      </w:r>
      <w:r w:rsidR="00E53247">
        <w:rPr>
          <w:rFonts w:asciiTheme="majorHAnsi" w:hAnsiTheme="majorHAnsi" w:cstheme="majorHAnsi"/>
          <w:color w:val="FF0000"/>
          <w:sz w:val="22"/>
          <w:szCs w:val="22"/>
        </w:rPr>
        <w:t xml:space="preserve"> than it is on its own</w:t>
      </w:r>
      <w:r w:rsidR="00536FBA">
        <w:rPr>
          <w:rFonts w:asciiTheme="majorHAnsi" w:hAnsiTheme="majorHAnsi" w:cstheme="majorHAnsi"/>
          <w:color w:val="FF0000"/>
          <w:sz w:val="22"/>
          <w:szCs w:val="22"/>
        </w:rPr>
        <w:t xml:space="preserve"> in reshaping development and conservation.</w:t>
      </w:r>
    </w:p>
    <w:p w14:paraId="3932C8EE"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Smart Growth planning should accelerate mixed-use, mixed-income TOD, with an emphasis on E-TOD,</w:t>
      </w:r>
    </w:p>
    <w:p w14:paraId="2B3D2848" w14:textId="1A2AA445" w:rsidR="00233BB9" w:rsidRPr="0026534A" w:rsidRDefault="00233BB9" w:rsidP="00536FBA">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around key transit hubs served by rail and bus rapid transit. While land use patterns generally take time to shift and produce measurable climate results, TOD can be</w:t>
      </w:r>
      <w:r w:rsidR="00536FBA">
        <w:rPr>
          <w:rFonts w:asciiTheme="majorHAnsi" w:hAnsiTheme="majorHAnsi" w:cstheme="majorHAnsi"/>
          <w:sz w:val="22"/>
          <w:szCs w:val="22"/>
        </w:rPr>
        <w:t xml:space="preserve"> </w:t>
      </w:r>
      <w:r w:rsidRPr="0026534A">
        <w:rPr>
          <w:rFonts w:asciiTheme="majorHAnsi" w:hAnsiTheme="majorHAnsi" w:cstheme="majorHAnsi"/>
          <w:sz w:val="22"/>
          <w:szCs w:val="22"/>
        </w:rPr>
        <w:t xml:space="preserve">expedited with State support given its </w:t>
      </w:r>
      <w:r w:rsidRPr="0026534A">
        <w:rPr>
          <w:rFonts w:asciiTheme="majorHAnsi" w:hAnsiTheme="majorHAnsi" w:cstheme="majorHAnsi"/>
          <w:sz w:val="22"/>
          <w:szCs w:val="22"/>
        </w:rPr>
        <w:lastRenderedPageBreak/>
        <w:t>defined geographic scope and focus; TOD also produces more</w:t>
      </w:r>
      <w:r w:rsidR="00536FBA">
        <w:rPr>
          <w:rFonts w:asciiTheme="majorHAnsi" w:hAnsiTheme="majorHAnsi" w:cstheme="majorHAnsi"/>
          <w:sz w:val="22"/>
          <w:szCs w:val="22"/>
        </w:rPr>
        <w:t xml:space="preserve"> </w:t>
      </w:r>
      <w:r w:rsidRPr="0026534A">
        <w:rPr>
          <w:rFonts w:asciiTheme="majorHAnsi" w:hAnsiTheme="majorHAnsi" w:cstheme="majorHAnsi"/>
          <w:sz w:val="22"/>
          <w:szCs w:val="22"/>
        </w:rPr>
        <w:t>measurable GHG reduction outcomes. The CJWG recommended a statewide program to plan and develop</w:t>
      </w:r>
      <w:r w:rsidR="00536FBA">
        <w:rPr>
          <w:rFonts w:asciiTheme="majorHAnsi" w:hAnsiTheme="majorHAnsi" w:cstheme="majorHAnsi"/>
          <w:sz w:val="22"/>
          <w:szCs w:val="22"/>
        </w:rPr>
        <w:t xml:space="preserve"> </w:t>
      </w:r>
      <w:r w:rsidRPr="0026534A">
        <w:rPr>
          <w:rFonts w:asciiTheme="majorHAnsi" w:hAnsiTheme="majorHAnsi" w:cstheme="majorHAnsi"/>
          <w:sz w:val="22"/>
          <w:szCs w:val="22"/>
        </w:rPr>
        <w:t>E-TOD.</w:t>
      </w:r>
    </w:p>
    <w:p w14:paraId="0B71DB69" w14:textId="29FB0D62" w:rsidR="00233BB9" w:rsidRPr="0026534A" w:rsidRDefault="00233BB9" w:rsidP="00233BB9">
      <w:pPr>
        <w:rPr>
          <w:rFonts w:asciiTheme="majorHAnsi" w:hAnsiTheme="majorHAnsi" w:cstheme="majorHAnsi"/>
          <w:sz w:val="22"/>
          <w:szCs w:val="22"/>
        </w:rPr>
      </w:pPr>
    </w:p>
    <w:p w14:paraId="2545DEE3" w14:textId="77777777" w:rsidR="00233BB9" w:rsidRPr="00536FBA" w:rsidRDefault="00233BB9" w:rsidP="00233BB9">
      <w:pPr>
        <w:autoSpaceDE w:val="0"/>
        <w:autoSpaceDN w:val="0"/>
        <w:adjustRightInd w:val="0"/>
        <w:rPr>
          <w:rFonts w:asciiTheme="majorHAnsi" w:hAnsiTheme="majorHAnsi" w:cstheme="majorHAnsi"/>
          <w:b/>
          <w:bCs/>
          <w:sz w:val="22"/>
          <w:szCs w:val="22"/>
        </w:rPr>
      </w:pPr>
      <w:r w:rsidRPr="00536FBA">
        <w:rPr>
          <w:rFonts w:asciiTheme="majorHAnsi" w:hAnsiTheme="majorHAnsi" w:cstheme="majorHAnsi"/>
          <w:b/>
          <w:bCs/>
          <w:sz w:val="22"/>
          <w:szCs w:val="22"/>
        </w:rPr>
        <w:t>LG4. Community Clean Energy Initiatives</w:t>
      </w:r>
    </w:p>
    <w:p w14:paraId="04846656"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This strategy connects homes, businesses, and community institutions with clean energy products and</w:t>
      </w:r>
    </w:p>
    <w:p w14:paraId="6656A9BC"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services through CCA programs, microgrids, district systems, and community-scale campaigns to</w:t>
      </w:r>
    </w:p>
    <w:p w14:paraId="472F30C7"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encourage adoption of innovative technologies to generate savings for consumers in an equitable manner.</w:t>
      </w:r>
    </w:p>
    <w:p w14:paraId="3379EEC6" w14:textId="012D7005"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 Encourage the adoption of clean technologies: NYSERDA should work with community</w:t>
      </w:r>
    </w:p>
    <w:p w14:paraId="67C9F433" w14:textId="77777777" w:rsidR="00233BB9" w:rsidRPr="0026534A" w:rsidRDefault="00233BB9" w:rsidP="00233BB9">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stakeholders to promote community-scale campaigns to encourage the adoption of clean</w:t>
      </w:r>
    </w:p>
    <w:p w14:paraId="1F3D31F5" w14:textId="3FC2777A" w:rsidR="00233BB9" w:rsidRDefault="00233BB9" w:rsidP="00233BB9">
      <w:pPr>
        <w:rPr>
          <w:rFonts w:asciiTheme="majorHAnsi" w:hAnsiTheme="majorHAnsi" w:cstheme="majorHAnsi"/>
          <w:sz w:val="22"/>
          <w:szCs w:val="22"/>
        </w:rPr>
      </w:pPr>
      <w:r w:rsidRPr="0026534A">
        <w:rPr>
          <w:rFonts w:asciiTheme="majorHAnsi" w:hAnsiTheme="majorHAnsi" w:cstheme="majorHAnsi"/>
          <w:sz w:val="22"/>
          <w:szCs w:val="22"/>
        </w:rPr>
        <w:t>technologies to generate value and savings for consumers.</w:t>
      </w:r>
    </w:p>
    <w:p w14:paraId="226E4CC1" w14:textId="7C833BE3" w:rsidR="00793422" w:rsidRDefault="00793422" w:rsidP="00233BB9">
      <w:pPr>
        <w:rPr>
          <w:rFonts w:asciiTheme="majorHAnsi" w:hAnsiTheme="majorHAnsi" w:cstheme="majorHAnsi"/>
          <w:sz w:val="22"/>
          <w:szCs w:val="22"/>
        </w:rPr>
      </w:pPr>
    </w:p>
    <w:p w14:paraId="78B980E4" w14:textId="16AC4CC9" w:rsidR="00793422" w:rsidRPr="00793422" w:rsidRDefault="00793422" w:rsidP="00793422">
      <w:pPr>
        <w:rPr>
          <w:rFonts w:asciiTheme="majorHAnsi" w:hAnsiTheme="majorHAnsi" w:cstheme="majorHAnsi"/>
          <w:color w:val="FF0000"/>
          <w:sz w:val="22"/>
          <w:szCs w:val="22"/>
        </w:rPr>
      </w:pPr>
      <w:r>
        <w:rPr>
          <w:rFonts w:asciiTheme="majorHAnsi" w:hAnsiTheme="majorHAnsi" w:cstheme="majorHAnsi"/>
          <w:color w:val="FF0000"/>
          <w:sz w:val="22"/>
          <w:szCs w:val="22"/>
        </w:rPr>
        <w:t xml:space="preserve">There are particular </w:t>
      </w:r>
      <w:r w:rsidR="00E53247">
        <w:rPr>
          <w:rFonts w:asciiTheme="majorHAnsi" w:hAnsiTheme="majorHAnsi" w:cstheme="majorHAnsi"/>
          <w:color w:val="FF0000"/>
          <w:sz w:val="22"/>
          <w:szCs w:val="22"/>
        </w:rPr>
        <w:t>“</w:t>
      </w:r>
      <w:r>
        <w:rPr>
          <w:rFonts w:asciiTheme="majorHAnsi" w:hAnsiTheme="majorHAnsi" w:cstheme="majorHAnsi"/>
          <w:color w:val="FF0000"/>
          <w:sz w:val="22"/>
          <w:szCs w:val="22"/>
        </w:rPr>
        <w:t>beasts</w:t>
      </w:r>
      <w:r w:rsidR="00E53247">
        <w:rPr>
          <w:rFonts w:asciiTheme="majorHAnsi" w:hAnsiTheme="majorHAnsi" w:cstheme="majorHAnsi"/>
          <w:color w:val="FF0000"/>
          <w:sz w:val="22"/>
          <w:szCs w:val="22"/>
        </w:rPr>
        <w:t>”</w:t>
      </w:r>
      <w:r>
        <w:rPr>
          <w:rFonts w:asciiTheme="majorHAnsi" w:hAnsiTheme="majorHAnsi" w:cstheme="majorHAnsi"/>
          <w:color w:val="FF0000"/>
          <w:sz w:val="22"/>
          <w:szCs w:val="22"/>
        </w:rPr>
        <w:t xml:space="preserve"> of CO2 emissions release that need to be addressed at the community/neighborhood level:  gas lawnmowers and leaf blowers</w:t>
      </w:r>
      <w:r w:rsidR="00E53247">
        <w:rPr>
          <w:rFonts w:asciiTheme="majorHAnsi" w:hAnsiTheme="majorHAnsi" w:cstheme="majorHAnsi"/>
          <w:color w:val="FF0000"/>
          <w:sz w:val="22"/>
          <w:szCs w:val="22"/>
        </w:rPr>
        <w:t xml:space="preserve"> (and the extensive lands dedicated to them)</w:t>
      </w:r>
      <w:r>
        <w:rPr>
          <w:rFonts w:asciiTheme="majorHAnsi" w:hAnsiTheme="majorHAnsi" w:cstheme="majorHAnsi"/>
          <w:color w:val="FF0000"/>
          <w:sz w:val="22"/>
          <w:szCs w:val="22"/>
        </w:rPr>
        <w:t xml:space="preserve">. There are existing excellent, proven, durable electric landscape maintenance power tools: mowers, weed whackers, leaf blowers, chain saws that can replace the intense carbon emitting tools that are ubiquitous in our communities. This needs to be a campaign and incentivized push to transition to electric power tools. Residential emissions from gas power tools is a very large area of potential GHG reduction the state can make with a strong push. </w:t>
      </w:r>
      <w:r w:rsidRPr="00793422">
        <w:rPr>
          <w:rFonts w:asciiTheme="majorHAnsi" w:hAnsiTheme="majorHAnsi" w:cstheme="majorHAnsi"/>
          <w:color w:val="FF0000"/>
          <w:sz w:val="22"/>
          <w:szCs w:val="22"/>
        </w:rPr>
        <w:t>Stop the bleeding gas lawn mowers and leaf blowers!</w:t>
      </w:r>
    </w:p>
    <w:p w14:paraId="20457567" w14:textId="77777777" w:rsidR="00371595" w:rsidRPr="00E53247" w:rsidRDefault="00371595" w:rsidP="00371595">
      <w:pPr>
        <w:shd w:val="clear" w:color="auto" w:fill="FFFFFF"/>
        <w:spacing w:before="100" w:beforeAutospacing="1" w:after="100" w:afterAutospacing="1"/>
        <w:ind w:left="720"/>
        <w:rPr>
          <w:rFonts w:ascii="Verdana" w:eastAsia="Times New Roman" w:hAnsi="Verdana" w:cs="Times New Roman"/>
          <w:color w:val="FF0000"/>
          <w:sz w:val="21"/>
          <w:szCs w:val="21"/>
          <w:shd w:val="clear" w:color="auto" w:fill="FFFFFF"/>
        </w:rPr>
      </w:pPr>
      <w:r w:rsidRPr="00E53247">
        <w:rPr>
          <w:rFonts w:ascii="Verdana" w:eastAsia="Times New Roman" w:hAnsi="Verdana" w:cs="Times New Roman"/>
          <w:b/>
          <w:bCs/>
          <w:color w:val="FF0000"/>
          <w:sz w:val="21"/>
          <w:szCs w:val="21"/>
          <w:shd w:val="clear" w:color="auto" w:fill="FFFFFF"/>
        </w:rPr>
        <w:t>Statistics for Gas Power Lawn Mowers</w:t>
      </w:r>
    </w:p>
    <w:p w14:paraId="23B5A4A5" w14:textId="77777777" w:rsidR="00371595" w:rsidRPr="00E53247" w:rsidRDefault="00371595" w:rsidP="00371595">
      <w:pPr>
        <w:shd w:val="clear" w:color="auto" w:fill="FFFFFF"/>
        <w:spacing w:before="100" w:beforeAutospacing="1" w:after="100" w:afterAutospacing="1"/>
        <w:ind w:left="720"/>
        <w:rPr>
          <w:rFonts w:ascii="Verdana" w:eastAsia="Times New Roman" w:hAnsi="Verdana" w:cs="Times New Roman"/>
          <w:color w:val="FF0000"/>
          <w:sz w:val="21"/>
          <w:szCs w:val="21"/>
          <w:shd w:val="clear" w:color="auto" w:fill="FFFFFF"/>
        </w:rPr>
      </w:pPr>
      <w:r w:rsidRPr="00E53247">
        <w:rPr>
          <w:rFonts w:ascii="Verdana" w:eastAsia="Times New Roman" w:hAnsi="Verdana" w:cs="Times New Roman"/>
          <w:color w:val="FF0000"/>
          <w:sz w:val="21"/>
          <w:szCs w:val="21"/>
          <w:shd w:val="clear" w:color="auto" w:fill="FFFFFF"/>
        </w:rPr>
        <w:t xml:space="preserve">Well over 5 million gas powered mowers are still sold in the U.S. every year. A typical gas mower, for instance, can emit the same </w:t>
      </w:r>
      <w:proofErr w:type="gramStart"/>
      <w:r w:rsidRPr="00E53247">
        <w:rPr>
          <w:rFonts w:ascii="Verdana" w:eastAsia="Times New Roman" w:hAnsi="Verdana" w:cs="Times New Roman"/>
          <w:color w:val="FF0000"/>
          <w:sz w:val="21"/>
          <w:szCs w:val="21"/>
          <w:shd w:val="clear" w:color="auto" w:fill="FFFFFF"/>
        </w:rPr>
        <w:t>amount</w:t>
      </w:r>
      <w:proofErr w:type="gramEnd"/>
      <w:r w:rsidRPr="00E53247">
        <w:rPr>
          <w:rFonts w:ascii="Verdana" w:eastAsia="Times New Roman" w:hAnsi="Verdana" w:cs="Times New Roman"/>
          <w:color w:val="FF0000"/>
          <w:sz w:val="21"/>
          <w:szCs w:val="21"/>
          <w:shd w:val="clear" w:color="auto" w:fill="FFFFFF"/>
        </w:rPr>
        <w:t xml:space="preserve"> of VOCs and NOx -- key precursors to smog -- in an hour as a typical car driven 45 miles, according to the EPA.</w:t>
      </w:r>
    </w:p>
    <w:tbl>
      <w:tblPr>
        <w:tblW w:w="9360" w:type="dxa"/>
        <w:tblCellSpacing w:w="0" w:type="dxa"/>
        <w:tblInd w:w="720" w:type="dxa"/>
        <w:shd w:val="clear" w:color="auto" w:fill="FFFFFF"/>
        <w:tblCellMar>
          <w:left w:w="0" w:type="dxa"/>
          <w:right w:w="0" w:type="dxa"/>
        </w:tblCellMar>
        <w:tblLook w:val="04A0" w:firstRow="1" w:lastRow="0" w:firstColumn="1" w:lastColumn="0" w:noHBand="0" w:noVBand="1"/>
      </w:tblPr>
      <w:tblGrid>
        <w:gridCol w:w="9360"/>
      </w:tblGrid>
      <w:tr w:rsidR="00E53247" w:rsidRPr="00E53247" w14:paraId="637E7919" w14:textId="77777777" w:rsidTr="00371595">
        <w:trPr>
          <w:tblCellSpacing w:w="0" w:type="dxa"/>
        </w:trPr>
        <w:tc>
          <w:tcPr>
            <w:tcW w:w="0" w:type="auto"/>
            <w:shd w:val="clear" w:color="auto" w:fill="FFFFFF"/>
            <w:vAlign w:val="center"/>
            <w:hideMark/>
          </w:tcPr>
          <w:p w14:paraId="0A7A1893" w14:textId="77777777" w:rsidR="00371595" w:rsidRPr="00E53247" w:rsidRDefault="00371595" w:rsidP="00371595">
            <w:pPr>
              <w:spacing w:before="100" w:beforeAutospacing="1" w:after="100" w:afterAutospacing="1"/>
              <w:rPr>
                <w:rFonts w:ascii="Verdana" w:eastAsia="Times New Roman" w:hAnsi="Verdana" w:cs="Times New Roman"/>
                <w:color w:val="FF0000"/>
                <w:sz w:val="21"/>
                <w:szCs w:val="21"/>
              </w:rPr>
            </w:pPr>
            <w:r w:rsidRPr="00E53247">
              <w:rPr>
                <w:rFonts w:ascii="Verdana" w:eastAsia="Times New Roman" w:hAnsi="Verdana" w:cs="Times New Roman"/>
                <w:b/>
                <w:bCs/>
                <w:color w:val="FF0000"/>
                <w:sz w:val="21"/>
                <w:szCs w:val="21"/>
              </w:rPr>
              <w:t>FACT:</w:t>
            </w:r>
            <w:r w:rsidRPr="00E53247">
              <w:rPr>
                <w:rFonts w:ascii="Verdana" w:eastAsia="Times New Roman" w:hAnsi="Verdana" w:cs="Times New Roman"/>
                <w:color w:val="FF0000"/>
                <w:sz w:val="21"/>
                <w:szCs w:val="21"/>
              </w:rPr>
              <w:t> Americans burn 800 million gallons of gas each year trimming their grassy yards, according to the EPA</w:t>
            </w:r>
          </w:p>
          <w:p w14:paraId="090D6F96" w14:textId="77777777" w:rsidR="00371595" w:rsidRPr="00E53247" w:rsidRDefault="00371595" w:rsidP="00371595">
            <w:pPr>
              <w:spacing w:before="100" w:beforeAutospacing="1" w:after="100" w:afterAutospacing="1"/>
              <w:rPr>
                <w:rFonts w:ascii="Verdana" w:eastAsia="Times New Roman" w:hAnsi="Verdana" w:cs="Times New Roman"/>
                <w:color w:val="FF0000"/>
                <w:sz w:val="21"/>
                <w:szCs w:val="21"/>
              </w:rPr>
            </w:pPr>
            <w:r w:rsidRPr="00E53247">
              <w:rPr>
                <w:rFonts w:ascii="Verdana" w:eastAsia="Times New Roman" w:hAnsi="Verdana" w:cs="Times New Roman"/>
                <w:b/>
                <w:bCs/>
                <w:color w:val="FF0000"/>
                <w:sz w:val="21"/>
                <w:szCs w:val="21"/>
              </w:rPr>
              <w:t>FACT:</w:t>
            </w:r>
            <w:r w:rsidRPr="00E53247">
              <w:rPr>
                <w:rFonts w:ascii="Verdana" w:eastAsia="Times New Roman" w:hAnsi="Verdana" w:cs="Times New Roman"/>
                <w:color w:val="FF0000"/>
                <w:sz w:val="21"/>
                <w:szCs w:val="21"/>
              </w:rPr>
              <w:t> One gas mower running for an hour emits the same amount of pollutants as eight new cars driving 55 mph for the same amount of time, according to the Union of Concerned Scientists</w:t>
            </w:r>
          </w:p>
        </w:tc>
      </w:tr>
    </w:tbl>
    <w:p w14:paraId="77AF5CD2" w14:textId="77777777" w:rsidR="00371595" w:rsidRPr="00E53247" w:rsidRDefault="00371595" w:rsidP="00371595">
      <w:pPr>
        <w:shd w:val="clear" w:color="auto" w:fill="FFFFFF"/>
        <w:spacing w:before="100" w:beforeAutospacing="1" w:after="100" w:afterAutospacing="1"/>
        <w:ind w:left="720"/>
        <w:rPr>
          <w:rFonts w:ascii="Verdana" w:eastAsia="Times New Roman" w:hAnsi="Verdana" w:cs="Times New Roman"/>
          <w:color w:val="FF0000"/>
          <w:sz w:val="21"/>
          <w:szCs w:val="21"/>
          <w:shd w:val="clear" w:color="auto" w:fill="FFFFFF"/>
        </w:rPr>
      </w:pPr>
      <w:r w:rsidRPr="00E53247">
        <w:rPr>
          <w:rFonts w:ascii="Verdana" w:eastAsia="Times New Roman" w:hAnsi="Verdana" w:cs="Times New Roman"/>
          <w:color w:val="FF0000"/>
          <w:sz w:val="20"/>
          <w:szCs w:val="20"/>
          <w:shd w:val="clear" w:color="auto" w:fill="FFFFFF"/>
        </w:rPr>
        <w:t>The replacement of every 500 gas mowers with non-motorized mowers would spare the air</w:t>
      </w:r>
    </w:p>
    <w:p w14:paraId="1D88DFA0" w14:textId="77777777" w:rsidR="00371595" w:rsidRPr="00E53247" w:rsidRDefault="00371595" w:rsidP="00371595">
      <w:pPr>
        <w:numPr>
          <w:ilvl w:val="0"/>
          <w:numId w:val="2"/>
        </w:numPr>
        <w:shd w:val="clear" w:color="auto" w:fill="FFFFFF"/>
        <w:tabs>
          <w:tab w:val="clear" w:pos="720"/>
          <w:tab w:val="num" w:pos="1440"/>
        </w:tabs>
        <w:spacing w:before="100" w:beforeAutospacing="1" w:after="100" w:afterAutospacing="1"/>
        <w:ind w:left="1440"/>
        <w:rPr>
          <w:rFonts w:ascii="Verdana" w:eastAsia="Times New Roman" w:hAnsi="Verdana" w:cs="Times New Roman"/>
          <w:color w:val="FF0000"/>
          <w:sz w:val="21"/>
          <w:szCs w:val="21"/>
          <w:shd w:val="clear" w:color="auto" w:fill="FFFFFF"/>
        </w:rPr>
      </w:pPr>
      <w:r w:rsidRPr="00E53247">
        <w:rPr>
          <w:rFonts w:ascii="Verdana" w:eastAsia="Times New Roman" w:hAnsi="Verdana" w:cs="Times New Roman"/>
          <w:color w:val="FF0000"/>
          <w:sz w:val="20"/>
          <w:szCs w:val="20"/>
          <w:shd w:val="clear" w:color="auto" w:fill="FFFFFF"/>
        </w:rPr>
        <w:t>212 pounds of hydrocarbons</w:t>
      </w:r>
      <w:r w:rsidRPr="00E53247">
        <w:rPr>
          <w:rFonts w:ascii="Verdana" w:eastAsia="Times New Roman" w:hAnsi="Verdana" w:cs="Times New Roman"/>
          <w:color w:val="FF0000"/>
          <w:sz w:val="20"/>
          <w:szCs w:val="20"/>
          <w:shd w:val="clear" w:color="auto" w:fill="FFFFFF"/>
        </w:rPr>
        <w:br/>
        <w:t>(smog ingredient)</w:t>
      </w:r>
    </w:p>
    <w:p w14:paraId="26F7B001" w14:textId="77777777" w:rsidR="00371595" w:rsidRPr="00E53247" w:rsidRDefault="00371595" w:rsidP="00371595">
      <w:pPr>
        <w:numPr>
          <w:ilvl w:val="0"/>
          <w:numId w:val="2"/>
        </w:numPr>
        <w:shd w:val="clear" w:color="auto" w:fill="FFFFFF"/>
        <w:tabs>
          <w:tab w:val="clear" w:pos="720"/>
          <w:tab w:val="num" w:pos="1440"/>
        </w:tabs>
        <w:spacing w:before="100" w:beforeAutospacing="1" w:after="100" w:afterAutospacing="1"/>
        <w:ind w:left="1440"/>
        <w:rPr>
          <w:rFonts w:ascii="Verdana" w:eastAsia="Times New Roman" w:hAnsi="Verdana" w:cs="Times New Roman"/>
          <w:color w:val="FF0000"/>
          <w:sz w:val="21"/>
          <w:szCs w:val="21"/>
          <w:shd w:val="clear" w:color="auto" w:fill="FFFFFF"/>
        </w:rPr>
      </w:pPr>
      <w:r w:rsidRPr="00E53247">
        <w:rPr>
          <w:rFonts w:ascii="Verdana" w:eastAsia="Times New Roman" w:hAnsi="Verdana" w:cs="Times New Roman"/>
          <w:color w:val="FF0000"/>
          <w:sz w:val="20"/>
          <w:szCs w:val="20"/>
          <w:shd w:val="clear" w:color="auto" w:fill="FFFFFF"/>
        </w:rPr>
        <w:t>1.7 pounds of nitrogen oxides</w:t>
      </w:r>
      <w:r w:rsidRPr="00E53247">
        <w:rPr>
          <w:rFonts w:ascii="Verdana" w:eastAsia="Times New Roman" w:hAnsi="Verdana" w:cs="Times New Roman"/>
          <w:color w:val="FF0000"/>
          <w:sz w:val="20"/>
          <w:szCs w:val="20"/>
          <w:shd w:val="clear" w:color="auto" w:fill="FFFFFF"/>
        </w:rPr>
        <w:br/>
        <w:t>(smog ingredient)</w:t>
      </w:r>
    </w:p>
    <w:p w14:paraId="22FE484F" w14:textId="0DC45D85" w:rsidR="00371595" w:rsidRPr="00E53247" w:rsidRDefault="00371595" w:rsidP="00371595">
      <w:pPr>
        <w:numPr>
          <w:ilvl w:val="0"/>
          <w:numId w:val="2"/>
        </w:numPr>
        <w:shd w:val="clear" w:color="auto" w:fill="FFFFFF"/>
        <w:tabs>
          <w:tab w:val="clear" w:pos="720"/>
          <w:tab w:val="num" w:pos="1440"/>
        </w:tabs>
        <w:spacing w:before="100" w:beforeAutospacing="1" w:after="100" w:afterAutospacing="1"/>
        <w:ind w:left="1440"/>
        <w:rPr>
          <w:rFonts w:ascii="Verdana" w:eastAsia="Times New Roman" w:hAnsi="Verdana" w:cs="Times New Roman"/>
          <w:color w:val="FF0000"/>
          <w:sz w:val="21"/>
          <w:szCs w:val="21"/>
          <w:shd w:val="clear" w:color="auto" w:fill="FFFFFF"/>
        </w:rPr>
      </w:pPr>
      <w:r w:rsidRPr="00E53247">
        <w:rPr>
          <w:rFonts w:ascii="Verdana" w:eastAsia="Times New Roman" w:hAnsi="Verdana" w:cs="Times New Roman"/>
          <w:color w:val="FF0000"/>
          <w:sz w:val="20"/>
          <w:szCs w:val="20"/>
          <w:shd w:val="clear" w:color="auto" w:fill="FFFFFF"/>
        </w:rPr>
        <w:t>5.6 pounds of irritating particles 1,724 pounds of carbon dioxide</w:t>
      </w:r>
      <w:bookmarkStart w:id="0" w:name="pollutants"/>
      <w:bookmarkEnd w:id="0"/>
    </w:p>
    <w:p w14:paraId="1C5C3799" w14:textId="77777777" w:rsidR="00371595" w:rsidRPr="0026534A" w:rsidRDefault="00371595" w:rsidP="00371595">
      <w:pPr>
        <w:autoSpaceDE w:val="0"/>
        <w:autoSpaceDN w:val="0"/>
        <w:adjustRightInd w:val="0"/>
        <w:rPr>
          <w:rFonts w:asciiTheme="majorHAnsi" w:hAnsiTheme="majorHAnsi" w:cstheme="majorHAnsi"/>
          <w:sz w:val="22"/>
          <w:szCs w:val="22"/>
        </w:rPr>
      </w:pPr>
      <w:r w:rsidRPr="00793422">
        <w:rPr>
          <w:rFonts w:asciiTheme="majorHAnsi" w:hAnsiTheme="majorHAnsi" w:cstheme="majorHAnsi"/>
          <w:b/>
          <w:bCs/>
          <w:sz w:val="22"/>
          <w:szCs w:val="22"/>
        </w:rPr>
        <w:t>Payment for Ecosystem Services (PES)</w:t>
      </w:r>
      <w:r w:rsidRPr="0026534A">
        <w:rPr>
          <w:rFonts w:asciiTheme="majorHAnsi" w:hAnsiTheme="majorHAnsi" w:cstheme="majorHAnsi"/>
          <w:sz w:val="22"/>
          <w:szCs w:val="22"/>
        </w:rPr>
        <w:t xml:space="preserve"> when aligned with water quality goals has the potential to</w:t>
      </w:r>
    </w:p>
    <w:p w14:paraId="18CDB50D" w14:textId="77777777" w:rsidR="00371595" w:rsidRPr="0026534A" w:rsidRDefault="00371595" w:rsidP="00371595">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 xml:space="preserve">protect water quality while aiding the struggling agricultural economy. University of Vermont </w:t>
      </w:r>
      <w:proofErr w:type="spellStart"/>
      <w:r w:rsidRPr="0026534A">
        <w:rPr>
          <w:rFonts w:asciiTheme="majorHAnsi" w:hAnsiTheme="majorHAnsi" w:cstheme="majorHAnsi"/>
          <w:sz w:val="22"/>
          <w:szCs w:val="22"/>
        </w:rPr>
        <w:t>Gund</w:t>
      </w:r>
      <w:proofErr w:type="spellEnd"/>
    </w:p>
    <w:p w14:paraId="26A761FE" w14:textId="77777777" w:rsidR="00371595" w:rsidRPr="0026534A" w:rsidRDefault="00371595" w:rsidP="00371595">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Institute’s white paper issued September 2019 highlights that to support economic viability for farmers</w:t>
      </w:r>
    </w:p>
    <w:p w14:paraId="7E671A2F" w14:textId="77777777" w:rsidR="00371595" w:rsidRPr="0026534A" w:rsidRDefault="00371595" w:rsidP="00371595">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with a PES program that is voluntary, flexible, and equitable will incentivize innovative and sustainable</w:t>
      </w:r>
    </w:p>
    <w:p w14:paraId="54647B84" w14:textId="77777777" w:rsidR="00371595" w:rsidRPr="0026534A" w:rsidRDefault="00371595" w:rsidP="00371595">
      <w:pPr>
        <w:autoSpaceDE w:val="0"/>
        <w:autoSpaceDN w:val="0"/>
        <w:adjustRightInd w:val="0"/>
        <w:rPr>
          <w:rFonts w:asciiTheme="majorHAnsi" w:hAnsiTheme="majorHAnsi" w:cstheme="majorHAnsi"/>
          <w:sz w:val="22"/>
          <w:szCs w:val="22"/>
        </w:rPr>
      </w:pPr>
      <w:r w:rsidRPr="0026534A">
        <w:rPr>
          <w:rFonts w:asciiTheme="majorHAnsi" w:hAnsiTheme="majorHAnsi" w:cstheme="majorHAnsi"/>
          <w:sz w:val="22"/>
          <w:szCs w:val="22"/>
        </w:rPr>
        <w:t>agricultural land management that provides multiple ecosystem services (for nutrient and/or GHG</w:t>
      </w:r>
    </w:p>
    <w:p w14:paraId="2DE3518B" w14:textId="77777777" w:rsidR="00371595" w:rsidRPr="00793422" w:rsidRDefault="00371595" w:rsidP="00371595">
      <w:pPr>
        <w:rPr>
          <w:rFonts w:asciiTheme="majorHAnsi" w:hAnsiTheme="majorHAnsi" w:cstheme="majorHAnsi"/>
          <w:color w:val="FF0000"/>
          <w:sz w:val="22"/>
          <w:szCs w:val="22"/>
        </w:rPr>
      </w:pPr>
      <w:r w:rsidRPr="0026534A">
        <w:rPr>
          <w:rFonts w:asciiTheme="majorHAnsi" w:hAnsiTheme="majorHAnsi" w:cstheme="majorHAnsi"/>
          <w:sz w:val="22"/>
          <w:szCs w:val="22"/>
        </w:rPr>
        <w:t>reductions).</w:t>
      </w:r>
      <w:r>
        <w:rPr>
          <w:rFonts w:asciiTheme="majorHAnsi" w:hAnsiTheme="majorHAnsi" w:cstheme="majorHAnsi"/>
          <w:sz w:val="22"/>
          <w:szCs w:val="22"/>
        </w:rPr>
        <w:t xml:space="preserve"> </w:t>
      </w:r>
      <w:r>
        <w:rPr>
          <w:rFonts w:asciiTheme="majorHAnsi" w:hAnsiTheme="majorHAnsi" w:cstheme="majorHAnsi"/>
          <w:color w:val="FF0000"/>
          <w:sz w:val="22"/>
          <w:szCs w:val="22"/>
        </w:rPr>
        <w:t>Yes!</w:t>
      </w:r>
    </w:p>
    <w:p w14:paraId="06844BCA" w14:textId="3D29FE2B" w:rsidR="00371595" w:rsidRPr="00371595" w:rsidRDefault="00371595" w:rsidP="00371595">
      <w:pPr>
        <w:rPr>
          <w:rFonts w:asciiTheme="majorHAnsi" w:hAnsiTheme="majorHAnsi" w:cstheme="majorHAnsi"/>
          <w:b/>
          <w:bCs/>
          <w:sz w:val="22"/>
          <w:szCs w:val="22"/>
        </w:rPr>
      </w:pPr>
      <w:r w:rsidRPr="00793422">
        <w:rPr>
          <w:rFonts w:asciiTheme="majorHAnsi" w:hAnsiTheme="majorHAnsi" w:cstheme="majorHAnsi"/>
          <w:b/>
          <w:bCs/>
          <w:sz w:val="22"/>
          <w:szCs w:val="22"/>
        </w:rPr>
        <w:lastRenderedPageBreak/>
        <w:t>“</w:t>
      </w:r>
      <w:proofErr w:type="spellStart"/>
      <w:r w:rsidRPr="00793422">
        <w:rPr>
          <w:rFonts w:asciiTheme="majorHAnsi" w:hAnsiTheme="majorHAnsi" w:cstheme="majorHAnsi"/>
          <w:b/>
          <w:bCs/>
          <w:sz w:val="22"/>
          <w:szCs w:val="22"/>
        </w:rPr>
        <w:t>SylvoPasture</w:t>
      </w:r>
      <w:proofErr w:type="spellEnd"/>
      <w:r w:rsidRPr="00793422">
        <w:rPr>
          <w:rFonts w:asciiTheme="majorHAnsi" w:hAnsiTheme="majorHAnsi" w:cstheme="majorHAnsi"/>
          <w:b/>
          <w:bCs/>
          <w:sz w:val="22"/>
          <w:szCs w:val="22"/>
        </w:rPr>
        <w:t>”</w:t>
      </w:r>
      <w:r>
        <w:rPr>
          <w:rFonts w:asciiTheme="majorHAnsi" w:hAnsiTheme="majorHAnsi" w:cstheme="majorHAnsi"/>
          <w:b/>
          <w:bCs/>
          <w:sz w:val="22"/>
          <w:szCs w:val="22"/>
        </w:rPr>
        <w:t xml:space="preserve"> </w:t>
      </w:r>
      <w:r w:rsidRPr="00793422">
        <w:rPr>
          <w:rFonts w:asciiTheme="majorHAnsi" w:hAnsiTheme="majorHAnsi" w:cstheme="majorHAnsi"/>
          <w:color w:val="FF0000"/>
          <w:sz w:val="22"/>
          <w:szCs w:val="22"/>
        </w:rPr>
        <w:t>This is great!</w:t>
      </w:r>
    </w:p>
    <w:sectPr w:rsidR="00371595" w:rsidRPr="003715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F04F54"/>
    <w:multiLevelType w:val="hybridMultilevel"/>
    <w:tmpl w:val="602A9B34"/>
    <w:lvl w:ilvl="0" w:tplc="7D5E217E">
      <w:start w:val="5"/>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71BB2"/>
    <w:multiLevelType w:val="multilevel"/>
    <w:tmpl w:val="59EC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B9"/>
    <w:rsid w:val="00223651"/>
    <w:rsid w:val="00233BB9"/>
    <w:rsid w:val="0026534A"/>
    <w:rsid w:val="00371595"/>
    <w:rsid w:val="00410854"/>
    <w:rsid w:val="00536FBA"/>
    <w:rsid w:val="00744404"/>
    <w:rsid w:val="00793422"/>
    <w:rsid w:val="007B7EE3"/>
    <w:rsid w:val="00945013"/>
    <w:rsid w:val="00A56CB6"/>
    <w:rsid w:val="00B60BD7"/>
    <w:rsid w:val="00D262DA"/>
    <w:rsid w:val="00DB5D15"/>
    <w:rsid w:val="00E53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B512BC"/>
  <w15:chartTrackingRefBased/>
  <w15:docId w15:val="{E79F0886-C71F-0945-B37B-8994DBB1F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404"/>
    <w:pPr>
      <w:ind w:left="720"/>
      <w:contextualSpacing/>
    </w:pPr>
  </w:style>
  <w:style w:type="paragraph" w:styleId="NormalWeb">
    <w:name w:val="Normal (Web)"/>
    <w:basedOn w:val="Normal"/>
    <w:uiPriority w:val="99"/>
    <w:semiHidden/>
    <w:unhideWhenUsed/>
    <w:rsid w:val="0037159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715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8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675</TotalTime>
  <Pages>4</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Jeanie Gleisner</dc:creator>
  <cp:keywords/>
  <dc:description/>
  <cp:lastModifiedBy>Jeanie Gleisner</cp:lastModifiedBy>
  <cp:revision>4</cp:revision>
  <dcterms:created xsi:type="dcterms:W3CDTF">2022-01-07T01:59:00Z</dcterms:created>
  <dcterms:modified xsi:type="dcterms:W3CDTF">2022-02-07T13:12:00Z</dcterms:modified>
</cp:coreProperties>
</file>